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2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</w:t>
      </w:r>
      <w:r>
        <w:rPr>
          <w:rFonts w:ascii="Times New Roman" w:hAnsi="Times New Roman"/>
          <w:b/>
          <w:bCs/>
        </w:rPr>
        <w:t>57</w:t>
      </w:r>
      <w:r>
        <w:rPr>
          <w:rFonts w:ascii="Times New Roman" w:hAnsi="Times New Roman"/>
          <w:b/>
          <w:bCs/>
        </w:rPr>
        <w:t>-Пр</w:t>
      </w:r>
    </w:p>
    <w:p>
      <w:pPr>
        <w:pStyle w:val="Style22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color w:val="4C4C4C"/>
          <w:shd w:fill="FFFFFF" w:val="clear"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>
        <w:rPr>
          <w:rFonts w:ascii="Times New Roman" w:hAnsi="Times New Roman"/>
          <w:b/>
          <w:bCs/>
        </w:rPr>
        <w:t xml:space="preserve">первых </w:t>
      </w:r>
      <w:r>
        <w:rPr>
          <w:rFonts w:ascii="Times New Roman" w:hAnsi="Times New Roman"/>
          <w:b/>
          <w:bCs/>
        </w:rPr>
        <w:t xml:space="preserve"> частей заявок на участие в открытом конкурсе в электронной форме (МСП) на право заключения договора на </w:t>
      </w:r>
      <w:r>
        <w:rPr>
          <w:rFonts w:ascii="Times New Roman" w:hAnsi="Times New Roman"/>
          <w:b/>
          <w:color w:val="000000"/>
          <w:shd w:fill="FFFFFF" w:val="clear"/>
        </w:rPr>
        <w:t>выполнение проектно-изыскательских работ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hd w:fill="FFFFFF" w:val="clear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  <w:shd w:fill="FFFFFF" w:val="clear"/>
        </w:rPr>
        <w:t>«Арктик Атом-Сервис»</w:t>
      </w:r>
    </w:p>
    <w:p>
      <w:pPr>
        <w:pStyle w:val="Style22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638"/>
        <w:gridCol w:w="5399"/>
      </w:tblGrid>
      <w:tr>
        <w:trPr/>
        <w:tc>
          <w:tcPr>
            <w:tcW w:w="4638" w:type="dxa"/>
            <w:tcBorders/>
          </w:tcPr>
          <w:p>
            <w:pPr>
              <w:pStyle w:val="Style22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99" w:type="dxa"/>
            <w:tcBorders/>
          </w:tcPr>
          <w:p>
            <w:pPr>
              <w:pStyle w:val="Style22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>
              <w:rPr>
                <w:rFonts w:ascii="Times New Roman" w:hAnsi="Times New Roman"/>
                <w:bCs/>
                <w:lang w:eastAsia="en-US"/>
              </w:rPr>
              <w:t>25</w:t>
            </w:r>
            <w:r>
              <w:rPr>
                <w:rFonts w:ascii="Times New Roman" w:hAnsi="Times New Roman"/>
                <w:bCs/>
                <w:lang w:eastAsia="en-US"/>
              </w:rPr>
              <w:t>» мая 2026 г.</w:t>
            </w:r>
          </w:p>
          <w:p>
            <w:pPr>
              <w:pStyle w:val="Style22"/>
              <w:widowControl w:val="false"/>
              <w:spacing w:lineRule="auto" w:line="276" w:before="0"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Конкурс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 в </w:t>
      </w:r>
      <w:r>
        <w:rPr>
          <w:rFonts w:ascii="Times New Roman" w:hAnsi="Times New Roman"/>
          <w:color w:val="000000"/>
          <w:lang w:eastAsia="ar-SA"/>
        </w:rPr>
        <w:t>документации по конкурсу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 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</w:rPr>
        <w:t xml:space="preserve">: открытый конкурс в электронной форме (МСП) на </w:t>
      </w:r>
      <w:r>
        <w:rPr>
          <w:rFonts w:ascii="Times New Roman" w:hAnsi="Times New Roman"/>
          <w:bCs/>
        </w:rPr>
        <w:t xml:space="preserve">право заключения договора на </w:t>
      </w:r>
      <w:r>
        <w:rPr>
          <w:rFonts w:ascii="Times New Roman" w:hAnsi="Times New Roman"/>
          <w:shd w:fill="FFFFFF" w:val="clear"/>
        </w:rPr>
        <w:t>выполнение проектно-изыскательских работ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fill="FFFFFF" w:val="clear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fill="FFFFFF" w:val="clear"/>
        </w:rPr>
        <w:t>«Арктик Атом-Сервис».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Предмет договора: </w:t>
      </w:r>
      <w:r>
        <w:rPr>
          <w:rFonts w:ascii="Times New Roman" w:hAnsi="Times New Roman"/>
          <w:shd w:fill="FFFFFF" w:val="clear"/>
        </w:rPr>
        <w:t>выполнение проектно-изыскательских работ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fill="FFFFFF" w:val="clear"/>
        </w:rPr>
        <w:t>при строительстве административно-бытового здания «Дом-атомщика» ООО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hd w:fill="FFFFFF" w:val="clear"/>
        </w:rPr>
        <w:t>«Арктик Атом-Сервис»</w:t>
      </w:r>
      <w:r>
        <w:rPr>
          <w:rFonts w:ascii="Times New Roman" w:hAnsi="Times New Roman"/>
          <w:bCs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Состав и объем работ: все необходимые сведения приведены в Томе 2 извещения </w:t>
      </w:r>
      <w:r>
        <w:rPr>
          <w:rFonts w:eastAsia="Calibri" w:ascii="Times New Roman" w:hAnsi="Times New Roman" w:eastAsiaTheme="minorHAnsi"/>
        </w:rPr>
        <w:t>о проведении конкурса (закупочной документации)</w:t>
      </w:r>
      <w:r>
        <w:rPr>
          <w:rFonts w:eastAsia="Calibri"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Срок выполнения работ: </w:t>
      </w:r>
      <w:r>
        <w:rPr>
          <w:rFonts w:eastAsia="Calibri" w:ascii="Times New Roman" w:hAnsi="Times New Roman" w:eastAsiaTheme="minorHAnsi"/>
        </w:rPr>
        <w:t>в соответствии с частью 3 тома 1 закупочной документации «Проект договора».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 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Начальная (максимальная) цена договора: 26 115 932 (Двадцать шесть миллионов сто пятнадцать тысяч девятьсот тридцать два) рубля </w:t>
      </w:r>
      <w:r>
        <w:rPr>
          <w:rFonts w:eastAsia="Calibri" w:ascii="Times New Roman" w:hAnsi="Times New Roman"/>
        </w:rPr>
        <w:t>00</w:t>
      </w:r>
      <w:r>
        <w:rPr>
          <w:rFonts w:eastAsia="Calibri" w:ascii="Times New Roman" w:hAnsi="Times New Roman"/>
        </w:rPr>
        <w:t xml:space="preserve"> копеек, включая НДС. </w:t>
      </w:r>
    </w:p>
    <w:p>
      <w:pPr>
        <w:pStyle w:val="Normal"/>
        <w:keepLines w:val="false"/>
        <w:tabs>
          <w:tab w:val="clear" w:pos="708"/>
          <w:tab w:val="left" w:pos="1134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1134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Начальная (максимальная) цена единицы работ:</w:t>
      </w:r>
    </w:p>
    <w:tbl>
      <w:tblPr>
        <w:tblW w:w="10055" w:type="dxa"/>
        <w:jc w:val="left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noVBand="1" w:val="04a0" w:noHBand="0" w:lastColumn="0" w:firstColumn="1" w:lastRow="0" w:firstRow="1"/>
      </w:tblPr>
      <w:tblGrid>
        <w:gridCol w:w="557"/>
        <w:gridCol w:w="7086"/>
        <w:gridCol w:w="2412"/>
      </w:tblGrid>
      <w:tr>
        <w:trPr>
          <w:trHeight w:val="956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N</w:t>
            </w:r>
          </w:p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п/п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Наименование работ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Начальная (максимальная) цена единицы, руб., включая НДС</w:t>
            </w:r>
          </w:p>
        </w:tc>
      </w:tr>
      <w:tr>
        <w:trPr>
          <w:trHeight w:val="316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1.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Инженерно-геодезические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1 884 95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0,63</w:t>
            </w:r>
          </w:p>
        </w:tc>
      </w:tr>
      <w:tr>
        <w:trPr>
          <w:trHeight w:val="599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2.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Инженерно-геологические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4 044 01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0,99</w:t>
            </w:r>
          </w:p>
        </w:tc>
      </w:tr>
      <w:tr>
        <w:trPr>
          <w:trHeight w:val="497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3.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Инженерно-экологические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1 464 366,00</w:t>
            </w:r>
          </w:p>
        </w:tc>
      </w:tr>
      <w:tr>
        <w:trPr/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4.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Инженерно-гидрометеорологические изыскания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1 202 066,00</w:t>
            </w:r>
          </w:p>
        </w:tc>
      </w:tr>
      <w:tr>
        <w:trPr/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5.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 в городе Певек. Буровые работы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1 281 000,00</w:t>
            </w:r>
          </w:p>
        </w:tc>
      </w:tr>
      <w:tr>
        <w:trPr/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6.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Дизайн проект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7 869 610,00</w:t>
            </w:r>
          </w:p>
        </w:tc>
      </w:tr>
      <w:tr>
        <w:trPr>
          <w:trHeight w:val="257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7.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Рабочая документация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2 934 21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8,38</w:t>
            </w:r>
          </w:p>
        </w:tc>
      </w:tr>
      <w:tr>
        <w:trPr>
          <w:trHeight w:val="211" w:hRule="atLeast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sz w:val="23"/>
                <w:szCs w:val="23"/>
              </w:rPr>
              <w:t>8.</w:t>
            </w:r>
          </w:p>
        </w:tc>
        <w:tc>
          <w:tcPr>
            <w:tcW w:w="70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sz w:val="23"/>
                <w:szCs w:val="23"/>
              </w:rPr>
            </w:pPr>
            <w:r>
              <w:rPr>
                <w:rFonts w:cs="Times New Roman" w:ascii="Times New Roman" w:hAnsi="Times New Roman"/>
                <w:color w:val="000000"/>
                <w:sz w:val="23"/>
                <w:szCs w:val="23"/>
              </w:rPr>
              <w:t>Строительство административно-бытового здания "Дом атомщика" в городе Певек. Эскизный проект</w:t>
            </w:r>
          </w:p>
        </w:tc>
        <w:tc>
          <w:tcPr>
            <w:tcW w:w="2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5 435 710,00</w:t>
            </w:r>
          </w:p>
        </w:tc>
      </w:tr>
    </w:tbl>
    <w:p>
      <w:pPr>
        <w:pStyle w:val="Normal"/>
        <w:tabs>
          <w:tab w:val="clear" w:pos="708"/>
          <w:tab w:val="left" w:pos="1134" w:leader="none"/>
        </w:tabs>
        <w:rPr>
          <w:rFonts w:ascii="Times New Roman" w:hAnsi="Times New Roman" w:eastAsia="Calibri"/>
          <w:lang w:eastAsia="en-US"/>
        </w:rPr>
      </w:pPr>
      <w:r>
        <w:rPr>
          <w:rFonts w:eastAsia="Calibri" w:ascii="Times New Roman" w:hAnsi="Times New Roman"/>
          <w:lang w:eastAsia="en-US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конкурса в электронной форме (МСП) и документация по открытому конкурсу опубликованы «1</w:t>
      </w:r>
      <w:r>
        <w:rPr>
          <w:rFonts w:ascii="Times New Roman" w:hAnsi="Times New Roman"/>
          <w:color w:val="000000"/>
          <w:lang w:eastAsia="ar-SA"/>
        </w:rPr>
        <w:t>2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ма</w:t>
      </w:r>
      <w:r>
        <w:rPr>
          <w:rFonts w:ascii="Times New Roman" w:hAnsi="Times New Roman"/>
          <w:color w:val="000000"/>
          <w:lang w:eastAsia="ar-SA"/>
        </w:rPr>
        <w:t xml:space="preserve">я 2026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lang w:eastAsia="ar-SA"/>
        </w:rPr>
        <w:t>32615998164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-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lang w:eastAsia="ar-SA"/>
        </w:rPr>
        <w:t>202329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АКЦИОНЕРНОЕ ОБЩЕСТВО «ЭЛЕКТРОННЫЕ ТОРГОВЫЕ СИСТЕМЫ» , закупка 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lang w:eastAsia="ar-SA"/>
        </w:rPr>
        <w:t>32615998164</w:t>
      </w:r>
      <w:r>
        <w:rPr>
          <w:rFonts w:ascii="Times New Roman" w:hAnsi="Times New Roman"/>
          <w:color w:val="000000"/>
          <w:lang w:eastAsia="ar-SA"/>
        </w:rPr>
        <w:t>.</w:t>
      </w:r>
    </w:p>
    <w:p>
      <w:pPr>
        <w:pStyle w:val="311"/>
        <w:ind w:hanging="0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311"/>
        <w:ind w:hanging="0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Заседание закупочной комиссии проводится в 08:00 (время московское) «</w:t>
      </w:r>
      <w:r>
        <w:rPr>
          <w:b w:val="false"/>
          <w:bCs w:val="false"/>
          <w:color w:val="000000"/>
          <w:sz w:val="24"/>
          <w:szCs w:val="24"/>
        </w:rPr>
        <w:t>25</w:t>
      </w:r>
      <w:r>
        <w:rPr>
          <w:b w:val="false"/>
          <w:bCs w:val="false"/>
          <w:color w:val="000000"/>
          <w:sz w:val="24"/>
          <w:szCs w:val="24"/>
        </w:rPr>
        <w:t>» мая 2026 года, по адресу: 689400, Чукотский автономный округ, г. Певек, ул. Советская, д. 9.</w:t>
      </w:r>
    </w:p>
    <w:p>
      <w:pPr>
        <w:pStyle w:val="311"/>
        <w:ind w:hanging="0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403"/>
        <w:gridCol w:w="5631"/>
      </w:tblGrid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Генеральный директор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Круселёва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Петерс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/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 Кворум имеется.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/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конкурсе на 08:00 (время московское) «2</w:t>
      </w:r>
      <w:r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ма</w:t>
      </w:r>
      <w:r>
        <w:rPr>
          <w:rFonts w:ascii="Times New Roman" w:hAnsi="Times New Roman"/>
          <w:color w:val="000000"/>
          <w:lang w:eastAsia="ar-SA"/>
        </w:rPr>
        <w:t>я 2026 года на ЭТП АКЦИОНЕРНОЕ ОБЩЕСТВО «ЭЛЕКТРОННЫЕ ТОРГОВЫЕ СИСТЕМЫ», при подаче заявок на участие в конкурсе посредством программных и технических средств ЭТП АКЦИОНЕРНОЕ ОБЩЕСТВО «ЭЛЕКТРОННЫЕ ТОРГОВЫЕ СИСТЕМЫ» в рамках данного конкурса участнику присвоен следующий уникальный идентификационный номер: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1.1. Участник № 1 (присвоенный ЭТП идентификационный номер участника </w:t>
      </w:r>
      <w:r>
        <w:rPr>
          <w:rFonts w:ascii="Times New Roman" w:hAnsi="Times New Roman"/>
          <w:color w:val="000000"/>
          <w:lang w:eastAsia="ar-SA"/>
        </w:rPr>
        <w:t>32615998164-1-2</w:t>
      </w:r>
      <w:r>
        <w:rPr>
          <w:rFonts w:ascii="Times New Roman" w:hAnsi="Times New Roman"/>
          <w:color w:val="000000"/>
          <w:lang w:eastAsia="ar-SA"/>
        </w:rPr>
        <w:t>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1.2. Участник № 2 (присвоенный ЭТП идентификационный номер участника 32615998164-1-1).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1.3. Участник № 3 (присвоенный ЭТП идентификационный номер участника 32615998164-1-3).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 По результатам рассмотрения первых частей заявок на участие в конкурсе закупочной комиссией были приняты следующие решения:</w:t>
      </w:r>
    </w:p>
    <w:p>
      <w:pPr>
        <w:pStyle w:val="Normal"/>
        <w:keepLines w:val="false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дальнейшему участию в конкурсе участник</w:t>
      </w:r>
      <w:r>
        <w:rPr>
          <w:rFonts w:ascii="Times New Roman" w:hAnsi="Times New Roman"/>
          <w:color w:val="000000"/>
          <w:lang w:eastAsia="ar-SA"/>
        </w:rPr>
        <w:t>ов</w:t>
      </w:r>
      <w:r>
        <w:rPr>
          <w:rFonts w:ascii="Times New Roman" w:hAnsi="Times New Roman"/>
          <w:color w:val="000000"/>
          <w:lang w:eastAsia="ar-SA"/>
        </w:rPr>
        <w:t>, котор</w:t>
      </w:r>
      <w:r>
        <w:rPr>
          <w:rFonts w:ascii="Times New Roman" w:hAnsi="Times New Roman"/>
          <w:color w:val="000000"/>
          <w:lang w:eastAsia="ar-SA"/>
        </w:rPr>
        <w:t>ым</w:t>
      </w:r>
      <w:r>
        <w:rPr>
          <w:rFonts w:ascii="Times New Roman" w:hAnsi="Times New Roman"/>
          <w:color w:val="000000"/>
          <w:lang w:eastAsia="ar-SA"/>
        </w:rPr>
        <w:t xml:space="preserve"> присвоен</w:t>
      </w:r>
      <w:r>
        <w:rPr>
          <w:rFonts w:ascii="Times New Roman" w:hAnsi="Times New Roman"/>
          <w:color w:val="000000"/>
          <w:lang w:eastAsia="ar-SA"/>
        </w:rPr>
        <w:t>ы</w:t>
      </w:r>
      <w:r>
        <w:rPr>
          <w:rFonts w:ascii="Times New Roman" w:hAnsi="Times New Roman"/>
          <w:color w:val="000000"/>
          <w:lang w:eastAsia="ar-SA"/>
        </w:rPr>
        <w:t xml:space="preserve"> следующи</w:t>
      </w:r>
      <w:r>
        <w:rPr>
          <w:rFonts w:ascii="Times New Roman" w:hAnsi="Times New Roman"/>
          <w:color w:val="000000"/>
          <w:lang w:eastAsia="ar-SA"/>
        </w:rPr>
        <w:t>е</w:t>
      </w:r>
      <w:r>
        <w:rPr>
          <w:rFonts w:ascii="Times New Roman" w:hAnsi="Times New Roman"/>
          <w:color w:val="000000"/>
          <w:lang w:eastAsia="ar-SA"/>
        </w:rPr>
        <w:t xml:space="preserve"> уникальны</w:t>
      </w:r>
      <w:r>
        <w:rPr>
          <w:rFonts w:ascii="Times New Roman" w:hAnsi="Times New Roman"/>
          <w:color w:val="000000"/>
          <w:lang w:eastAsia="ar-SA"/>
        </w:rPr>
        <w:t>е</w:t>
      </w:r>
      <w:r>
        <w:rPr>
          <w:rFonts w:ascii="Times New Roman" w:hAnsi="Times New Roman"/>
          <w:color w:val="000000"/>
          <w:lang w:eastAsia="ar-SA"/>
        </w:rPr>
        <w:t xml:space="preserve"> идентификационны</w:t>
      </w:r>
      <w:r>
        <w:rPr>
          <w:rFonts w:ascii="Times New Roman" w:hAnsi="Times New Roman"/>
          <w:color w:val="000000"/>
          <w:lang w:eastAsia="ar-SA"/>
        </w:rPr>
        <w:t>е</w:t>
      </w:r>
      <w:r>
        <w:rPr>
          <w:rFonts w:ascii="Times New Roman" w:hAnsi="Times New Roman"/>
          <w:color w:val="000000"/>
          <w:lang w:eastAsia="ar-SA"/>
        </w:rPr>
        <w:t xml:space="preserve"> номер</w:t>
      </w:r>
      <w:r>
        <w:rPr>
          <w:rFonts w:ascii="Times New Roman" w:hAnsi="Times New Roman"/>
          <w:color w:val="000000"/>
          <w:lang w:eastAsia="ar-SA"/>
        </w:rPr>
        <w:t>а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2.1.1. </w:t>
      </w:r>
      <w:r>
        <w:rPr>
          <w:rFonts w:ascii="Times New Roman" w:hAnsi="Times New Roman"/>
          <w:color w:val="000000"/>
          <w:lang w:eastAsia="ar-SA"/>
        </w:rPr>
        <w:t>Участник № 2 (присвоенный ЭТП идентификационный номер участника 32615998164-1-1);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</w:t>
      </w:r>
      <w:r>
        <w:rPr>
          <w:rFonts w:ascii="Times New Roman" w:hAnsi="Times New Roman"/>
          <w:color w:val="000000"/>
          <w:lang w:eastAsia="ar-SA"/>
        </w:rPr>
        <w:t>1.2. Участник № 3 (присвоенный ЭТП идентификационный номер участника 32615998164-1-3).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2.2. На основании п.п. а) п. 8.10 части 2 Тома 1 закупочной документации, отказать в допуске Участнику № </w:t>
      </w:r>
      <w:r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 xml:space="preserve"> (присвоенный ЭТП идентификационный номер участника </w:t>
      </w:r>
      <w:r>
        <w:rPr>
          <w:rFonts w:ascii="Times New Roman" w:hAnsi="Times New Roman"/>
          <w:color w:val="000000"/>
          <w:lang w:eastAsia="ar-SA"/>
        </w:rPr>
        <w:t>32615998164-1-2</w:t>
      </w:r>
      <w:r>
        <w:rPr>
          <w:rFonts w:ascii="Times New Roman" w:hAnsi="Times New Roman"/>
          <w:color w:val="000000"/>
          <w:lang w:eastAsia="ar-SA"/>
        </w:rPr>
        <w:t xml:space="preserve">), в связи с </w:t>
      </w:r>
      <w:r>
        <w:rPr>
          <w:rFonts w:ascii="Times New Roman" w:hAnsi="Times New Roman"/>
          <w:color w:val="000000"/>
          <w:sz w:val="24"/>
          <w:lang w:eastAsia="ar-SA"/>
        </w:rPr>
        <w:t>несоответствием требованиям закупочной документации первой части заявки по составу и содержанию, в том числе представленного технического предложения, а именно: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/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Техническое предложение, предоставленное участником № 1 не соответствует требованиям закупочной документации:</w:t>
      </w:r>
    </w:p>
    <w:p>
      <w:pPr>
        <w:pStyle w:val="Normal"/>
        <w:keepLines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В Разделе 8 Технического задания «»Сдача/приемка работ, требования к результатам работ» Заказчиком установлено требование о п</w:t>
      </w:r>
      <w:r>
        <w:rPr>
          <w:rFonts w:ascii="Times New Roman" w:hAnsi="Times New Roman"/>
          <w:color w:val="111111"/>
          <w:lang w:eastAsia="ar-SA"/>
        </w:rPr>
        <w:t xml:space="preserve">редоставлении Подрядчиком </w:t>
      </w:r>
      <w:r>
        <w:rPr>
          <w:rFonts w:ascii="Times New Roman" w:hAnsi="Times New Roman"/>
          <w:b/>
          <w:bCs/>
          <w:color w:val="111111"/>
          <w:lang w:eastAsia="ar-SA"/>
        </w:rPr>
        <w:t>комплекта инженерных изысканий, проектно-сметной документации и дизайн-проекта в бумажном варианте в 3-х экземплярах на бумажном носителе и 1 экземпляр в электронном виде</w:t>
      </w:r>
      <w:r>
        <w:rPr>
          <w:rFonts w:ascii="Times New Roman" w:hAnsi="Times New Roman"/>
          <w:color w:val="111111"/>
          <w:lang w:eastAsia="ar-SA"/>
        </w:rPr>
        <w:t xml:space="preserve"> (графические материалы предоставить в электронном виде в формате DWG и pdf, текстовые материалы, ведомости представить в форматах (*.doc), (*.xls), (*.pdf)).,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111111"/>
          <w:lang w:eastAsia="ar-SA"/>
        </w:rPr>
        <w:t xml:space="preserve">Участник № 1 в техническом предложении предлагает предоставление Подрядчиком </w:t>
      </w:r>
      <w:r>
        <w:rPr>
          <w:rFonts w:ascii="Times New Roman" w:hAnsi="Times New Roman"/>
          <w:b/>
          <w:bCs/>
          <w:color w:val="111111"/>
          <w:lang w:eastAsia="ar-SA"/>
        </w:rPr>
        <w:t>комплекта инженерных изысканий, рабочей документации и дизайн-проекта в бумажном варианте в 3-х экземплярах на бумажном носителе и 1 экземпляр в электронном виде</w:t>
      </w:r>
      <w:r>
        <w:rPr>
          <w:rFonts w:ascii="Times New Roman" w:hAnsi="Times New Roman"/>
          <w:color w:val="111111"/>
          <w:lang w:eastAsia="ar-SA"/>
        </w:rPr>
        <w:t xml:space="preserve"> (графические материалы предоставить в электронном виде в формате DWG и pdf, текстовые материалы, ведомости представить в форматах (*.doc), (*.xls), (*.pdf)).</w:t>
      </w:r>
    </w:p>
    <w:p>
      <w:pPr>
        <w:pStyle w:val="Normal"/>
        <w:keepLines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111111"/>
          <w:lang w:eastAsia="ar-SA"/>
        </w:rPr>
        <w:t xml:space="preserve">- В Разделе 9 Технического задания «Специальные требования» Заказчиком установлено:  «Передача согласованной Заказчиком проектной документации на рассмотрение в экспертизу для получения положительного заключения осуществляет Подрядчик. </w:t>
      </w:r>
      <w:r>
        <w:rPr>
          <w:rFonts w:ascii="Tinos" w:hAnsi="Tinos"/>
        </w:rPr>
        <w:t xml:space="preserve">Проектную и рабочую документацию с внесенными исправлениями </w:t>
      </w:r>
      <w:r>
        <w:rPr>
          <w:rFonts w:ascii="Tinos" w:hAnsi="Tinos"/>
          <w:color w:val="111111"/>
        </w:rPr>
        <w:t>по замечаниям экспертизы</w:t>
      </w:r>
      <w:r>
        <w:rPr>
          <w:rFonts w:ascii="Tinos" w:hAnsi="Tinos"/>
        </w:rPr>
        <w:t>, сброшюровать и выдать оформленной в установленном порядке, согласно требовниям ГОСТ в 4 экземплярах (</w:t>
      </w:r>
      <w:r>
        <w:rPr>
          <w:rFonts w:ascii="Tinos" w:hAnsi="Tinos"/>
          <w:b/>
          <w:bCs/>
        </w:rPr>
        <w:t>4 экземпляра проектной и 4 экземпляра проектно-сметной документации</w:t>
      </w:r>
      <w:r>
        <w:rPr>
          <w:rFonts w:ascii="Tinos" w:hAnsi="Tinos"/>
        </w:rPr>
        <w:t>), а также в электронной версии в формате doc, dwg, pdf. В электронной версии необходимо учесть следующие требования:</w:t>
      </w:r>
    </w:p>
    <w:p>
      <w:pPr>
        <w:pStyle w:val="Normal"/>
        <w:widowControl w:val="false"/>
        <w:tabs>
          <w:tab w:val="clear" w:pos="708"/>
          <w:tab w:val="left" w:pos="256" w:leader="none"/>
        </w:tabs>
        <w:spacing w:lineRule="auto" w:line="276"/>
        <w:ind w:hanging="0"/>
        <w:rPr>
          <w:rFonts w:ascii="Tinos" w:hAnsi="Tinos"/>
        </w:rPr>
      </w:pPr>
      <w:r>
        <w:rPr>
          <w:rFonts w:ascii="Tinos" w:hAnsi="Tinos"/>
        </w:rPr>
        <w:t>-</w:t>
        <w:tab/>
        <w:t>одна книга документации размещается в одной папке, в которой находятся несколько файлов (текстовые и графические приложения);</w:t>
      </w:r>
    </w:p>
    <w:p>
      <w:pPr>
        <w:pStyle w:val="Normal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-</w:t>
        <w:tab/>
        <w:t xml:space="preserve">текстовая часть должна быть представлена в редактируемом и не редактируемом формате, графическая часть </w:t>
      </w:r>
      <w:r>
        <w:rPr>
          <w:rFonts w:ascii="Tinos" w:hAnsi="Tinos"/>
          <w:b/>
          <w:bCs/>
          <w:color w:val="111111"/>
          <w:lang w:eastAsia="ar-SA"/>
        </w:rPr>
        <w:t>проектно-сметной документации</w:t>
      </w:r>
      <w:r>
        <w:rPr>
          <w:rFonts w:ascii="Tinos" w:hAnsi="Tinos"/>
          <w:color w:val="111111"/>
          <w:lang w:eastAsia="ar-SA"/>
        </w:rPr>
        <w:t xml:space="preserve"> предоставляется в редактируемом формате dwg, отсканированную часть документации представить в формате pdf...»</w:t>
      </w:r>
    </w:p>
    <w:p>
      <w:pPr>
        <w:pStyle w:val="Normal"/>
        <w:keepLines/>
        <w:widowControl/>
        <w:suppressAutoHyphens w:val="true"/>
        <w:bidi w:val="0"/>
        <w:spacing w:before="0" w:after="0"/>
        <w:ind w:left="0" w:right="0" w:firstLine="510"/>
        <w:jc w:val="both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Участник № 1 в техническом предложении предлагает:  «</w:t>
      </w:r>
      <w:r>
        <w:rPr>
          <w:rFonts w:ascii="Times New Roman" w:hAnsi="Times New Roman"/>
          <w:color w:val="111111"/>
          <w:lang w:eastAsia="ar-SA"/>
        </w:rPr>
        <w:t xml:space="preserve">Передача согласованной Заказчиком проектной документации на рассмотрение в экспертизу для получения положительного заключения осуществляет Подрядчик. </w:t>
      </w:r>
      <w:r>
        <w:rPr>
          <w:rFonts w:ascii="Tinos" w:hAnsi="Tinos"/>
          <w:color w:val="111111"/>
          <w:lang w:eastAsia="ar-SA"/>
        </w:rPr>
        <w:t>Проектную и рабочую документацию с внесенными исправлениями по замечаниям экспертизы, сброшюровать и выдать оформленной в установленном порядке, согласно требовниям ГОСТ в 4 экземплярах (</w:t>
      </w:r>
      <w:r>
        <w:rPr>
          <w:rFonts w:ascii="Tinos" w:hAnsi="Tinos"/>
          <w:b/>
          <w:bCs/>
          <w:color w:val="111111"/>
          <w:lang w:eastAsia="ar-SA"/>
        </w:rPr>
        <w:t>4 экземпляра проектной и 4 экземпляра рабочей документации</w:t>
      </w:r>
      <w:r>
        <w:rPr>
          <w:rFonts w:ascii="Tinos" w:hAnsi="Tinos"/>
          <w:color w:val="111111"/>
          <w:lang w:eastAsia="ar-SA"/>
        </w:rPr>
        <w:t>), а также в электронной версии в формате doc, dwg, pdf. В электронной версии необходимо учесть следующие требования:</w:t>
      </w:r>
    </w:p>
    <w:p>
      <w:pPr>
        <w:pStyle w:val="Normal"/>
        <w:widowControl w:val="false"/>
        <w:tabs>
          <w:tab w:val="clear" w:pos="708"/>
          <w:tab w:val="left" w:pos="256" w:leader="none"/>
        </w:tabs>
        <w:spacing w:lineRule="auto" w:line="276"/>
        <w:ind w:hanging="0"/>
        <w:rPr>
          <w:rFonts w:ascii="Tinos" w:hAnsi="Tinos"/>
        </w:rPr>
      </w:pPr>
      <w:r>
        <w:rPr>
          <w:rFonts w:ascii="Tinos" w:hAnsi="Tinos"/>
        </w:rPr>
        <w:t>-</w:t>
        <w:tab/>
        <w:t>одна книга документации размещается в одной папке, в которой находятся несколько файлов (текстовые и графические приложения);</w:t>
      </w:r>
    </w:p>
    <w:p>
      <w:pPr>
        <w:pStyle w:val="Normal"/>
        <w:rPr>
          <w:rFonts w:ascii="Tinos" w:hAnsi="Tinos"/>
        </w:rPr>
      </w:pPr>
      <w:r>
        <w:rPr>
          <w:rFonts w:ascii="Tinos" w:hAnsi="Tinos"/>
          <w:color w:val="111111"/>
          <w:lang w:eastAsia="ar-SA"/>
        </w:rPr>
        <w:t>-</w:t>
        <w:tab/>
        <w:t xml:space="preserve">текстовая часть должна быть представлена в редактируемом и не редактируемом формате, графическая часть </w:t>
      </w:r>
      <w:r>
        <w:rPr>
          <w:rFonts w:ascii="Tinos" w:hAnsi="Tinos"/>
          <w:b/>
          <w:bCs/>
          <w:color w:val="111111"/>
          <w:lang w:eastAsia="ar-SA"/>
        </w:rPr>
        <w:t>проектной и рабочей</w:t>
      </w:r>
      <w:r>
        <w:rPr>
          <w:rFonts w:ascii="Tinos" w:hAnsi="Tinos"/>
          <w:color w:val="111111"/>
          <w:lang w:eastAsia="ar-SA"/>
        </w:rPr>
        <w:t xml:space="preserve"> документации предоставляется в редактируемом формате dwg, отсканированную часть документации представить в формате pdf...»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/>
      </w:r>
    </w:p>
    <w:p>
      <w:pPr>
        <w:pStyle w:val="Normal"/>
        <w:keepLines w:val="false"/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 xml:space="preserve">Результаты голосования членов закупочной комиссии: </w:t>
        <w:br/>
        <w:t xml:space="preserve">«за» - 5 голосов; 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«против» - 0 голосов;</w:t>
        <w:br/>
        <w:t>«во</w:t>
      </w:r>
      <w:r>
        <w:rPr>
          <w:rFonts w:eastAsia="Calibri" w:ascii="Times New Roman" w:hAnsi="Times New Roman"/>
          <w:sz w:val="24"/>
          <w:szCs w:val="24"/>
        </w:rPr>
        <w:t xml:space="preserve">здержался» - 0 голосов. 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/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- 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- принимает на себя обязательства: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bCs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403"/>
        <w:gridCol w:w="5631"/>
      </w:tblGrid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Генеральный директор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Cs/>
              </w:rPr>
            </w:pPr>
            <w:r>
              <w:rPr>
                <w:rFonts w:eastAsia="Calibri" w:ascii="Times New Roman" w:hAnsi="Times New Roman"/>
                <w:bCs/>
              </w:rPr>
              <w:t>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Круселёва Е.А.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 w:eastAsia="Calibri" w:eastAsiaTheme="minorHAns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 w:eastAsiaTheme="minorHAnsi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Петерс Д.А.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/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/>
            </w:pPr>
            <w:r>
              <w:rPr>
                <w:rFonts w:eastAsia="Calibri" w:ascii="Times New Roman" w:hAnsi="Times New Roman" w:eastAsiaTheme="minorHAnsi"/>
                <w:lang w:eastAsia="en-US"/>
              </w:rPr>
              <w:t>Макарятова М.Л.</w:t>
            </w:r>
          </w:p>
        </w:tc>
        <w:tc>
          <w:tcPr>
            <w:tcW w:w="56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993" w:leader="none"/>
              </w:tabs>
              <w:ind w:left="0" w:right="-1" w:hanging="0"/>
              <w:jc w:val="both"/>
              <w:rPr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b/>
          <w:bCs/>
          <w:color w:val="000000"/>
          <w:lang w:eastAsia="ar-SA"/>
        </w:rPr>
      </w:pPr>
      <w:r>
        <w:rPr>
          <w:rFonts w:eastAsia="Calibri" w:ascii="Times New Roman" w:hAnsi="Times New Roman"/>
          <w:b/>
          <w:bCs/>
          <w:color w:val="000000"/>
          <w:lang w:eastAsia="ar-SA"/>
        </w:rPr>
      </w:r>
    </w:p>
    <w:sectPr>
      <w:footerReference w:type="default" r:id="rId4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numPr>
        <w:ilvl w:val="0"/>
        <w:numId w:val="0"/>
      </w:numPr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</w:t>
    </w:r>
    <w:r>
      <w:rPr>
        <w:rFonts w:ascii="Times New Roman" w:hAnsi="Times New Roman"/>
        <w:bCs/>
        <w:sz w:val="16"/>
        <w:szCs w:val="16"/>
      </w:rPr>
      <w:t>57</w:t>
    </w:r>
    <w:r>
      <w:rPr>
        <w:rFonts w:ascii="Times New Roman" w:hAnsi="Times New Roman"/>
        <w:bCs/>
        <w:sz w:val="16"/>
        <w:szCs w:val="16"/>
      </w:rPr>
      <w:t>-Пр</w:t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 комиссии по рассмотрению </w:t>
    </w:r>
    <w:r>
      <w:rPr>
        <w:rFonts w:ascii="Times New Roman" w:hAnsi="Times New Roman"/>
        <w:bCs/>
        <w:sz w:val="16"/>
        <w:szCs w:val="16"/>
      </w:rPr>
      <w:t>первых</w:t>
    </w:r>
    <w:r>
      <w:rPr>
        <w:rFonts w:ascii="Times New Roman" w:hAnsi="Times New Roman"/>
        <w:bCs/>
        <w:sz w:val="16"/>
        <w:szCs w:val="16"/>
      </w:rPr>
      <w:t xml:space="preserve"> частей заявок по конкурсу в электронной форме (МСП) на право заключения договора на выполнение проектно-изыскательских работ при строительстве административно-бытового здания «Дом атомщика»</w:t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ООО «Арктик Атом-Сервис»</w:t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  <w:p>
    <w:pPr>
      <w:pStyle w:val="Style22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PAGE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2</w:t>
    </w:r>
    <w:r>
      <w:rPr>
        <w:sz w:val="16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sz w:val="16"/>
        <w:szCs w:val="16"/>
        <w:bCs/>
        <w:rFonts w:ascii="Times New Roman" w:hAnsi="Times New Roman"/>
      </w:rPr>
      <w:instrText xml:space="preserve"> NUMPAGES </w:instrText>
    </w:r>
    <w:r>
      <w:rPr>
        <w:sz w:val="16"/>
        <w:szCs w:val="16"/>
        <w:bCs/>
        <w:rFonts w:ascii="Times New Roman" w:hAnsi="Times New Roman"/>
      </w:rPr>
      <w:fldChar w:fldCharType="separate"/>
    </w:r>
    <w:r>
      <w:rPr>
        <w:sz w:val="16"/>
        <w:szCs w:val="16"/>
        <w:bCs/>
        <w:rFonts w:ascii="Times New Roman" w:hAnsi="Times New Roman"/>
      </w:rPr>
      <w:t>4</w:t>
    </w:r>
    <w:r>
      <w:rPr>
        <w:sz w:val="16"/>
        <w:szCs w:val="16"/>
        <w:bCs/>
        <w:rFonts w:ascii="Times New Roman" w:hAnsi="Times New Roman"/>
      </w:rPr>
      <w:fldChar w:fldCharType="end"/>
    </w:r>
  </w:p>
  <w:p>
    <w:pPr>
      <w:pStyle w:val="Style29"/>
      <w:rPr>
        <w:bCs/>
      </w:rPr>
    </w:pPr>
    <w:r>
      <w:rPr>
        <w:bCs/>
      </w:rPr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uiPriority w:val="99"/>
    <w:semiHidden/>
    <w:unhideWhenUsed/>
    <w:rPr>
      <w:color w:val="800080"/>
      <w:u w:val="single"/>
    </w:rPr>
  </w:style>
  <w:style w:type="character" w:styleId="Style15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0" w:customStyle="1">
    <w:name w:val="Абзац списка Знак"/>
    <w:link w:val="ListParagraph"/>
    <w:uiPriority w:val="34"/>
    <w:qFormat/>
    <w:locked/>
    <w:rsid w:val="008e4fb3"/>
    <w:rPr>
      <w:sz w:val="22"/>
      <w:szCs w:val="22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2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3">
    <w:name w:val="List"/>
    <w:basedOn w:val="Style22"/>
    <w:pPr/>
    <w:rPr>
      <w:rFonts w:ascii="PT Astra Serif" w:hAnsi="PT Astra Serif"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6">
    <w:name w:val="Title"/>
    <w:basedOn w:val="Normal"/>
    <w:next w:val="Style22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Msonormal" w:customStyle="1">
    <w:name w:val="msonormal"/>
    <w:basedOn w:val="Normal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NormalWeb">
    <w:name w:val="Normal (Web)"/>
    <w:basedOn w:val="Normal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7" w:customStyle="1">
    <w:name w:val="Колонтитул"/>
    <w:basedOn w:val="Normal"/>
    <w:qFormat/>
    <w:pPr/>
    <w:rPr/>
  </w:style>
  <w:style w:type="paragraph" w:styleId="Style28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0"/>
    <w:uiPriority w:val="34"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0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1" w:customStyle="1">
    <w:name w:val="Заголовок таблицы"/>
    <w:basedOn w:val="Style30"/>
    <w:qFormat/>
    <w:pPr>
      <w:jc w:val="center"/>
    </w:pPr>
    <w:rPr>
      <w:b/>
      <w:bCs/>
    </w:rPr>
  </w:style>
  <w:style w:type="paragraph" w:styleId="Standard" w:customStyle="1">
    <w:name w:val="Standard"/>
    <w:qFormat/>
    <w:rsid w:val="004b58f8"/>
    <w:pPr>
      <w:widowControl w:val="false"/>
      <w:suppressAutoHyphens w:val="true"/>
      <w:bidi w:val="0"/>
      <w:spacing w:before="0" w:after="0"/>
      <w:jc w:val="center"/>
    </w:pPr>
    <w:rPr>
      <w:rFonts w:ascii="PT Astra Serif" w:hAnsi="PT Astra Serif" w:eastAsia="PT Astra Serif" w:cs="PT Astra Serif"/>
      <w:color w:val="auto"/>
      <w:kern w:val="2"/>
      <w:sz w:val="28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93203-4140-4A72-A9FB-8D0E64388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LibreOffice/7.5.6.2$Linux_X86_64 LibreOffice_project/50$Build-2</Application>
  <AppVersion>15.0000</AppVersion>
  <Pages>4</Pages>
  <Words>1233</Words>
  <Characters>8962</Characters>
  <CharactersWithSpaces>10123</CharactersWithSpaces>
  <Paragraphs>112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2026-04-27T19:11:00Z</dcterms:created>
  <dc:creator>ss</dc:creator>
  <dc:description/>
  <dc:language>ru-RU</dc:language>
  <cp:lastModifiedBy/>
  <cp:lastPrinted>2025-07-18T07:21:00Z</cp:lastPrinted>
  <dcterms:modified xsi:type="dcterms:W3CDTF">2026-05-26T14:18:55Z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