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2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947/15</w:t>
      </w:r>
      <w:r>
        <w:rPr>
          <w:rFonts w:ascii="Times New Roman" w:hAnsi="Times New Roman"/>
          <w:b/>
          <w:bCs/>
        </w:rPr>
        <w:t>9</w:t>
      </w:r>
      <w:r>
        <w:rPr>
          <w:rFonts w:ascii="Times New Roman" w:hAnsi="Times New Roman"/>
          <w:b/>
          <w:bCs/>
        </w:rPr>
        <w:t>-Пр</w:t>
      </w:r>
    </w:p>
    <w:p>
      <w:pPr>
        <w:pStyle w:val="Style22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color w:val="4C4C4C"/>
          <w:shd w:fill="FFFFFF" w:val="clear"/>
        </w:rPr>
      </w:pPr>
      <w:r>
        <w:rPr>
          <w:rFonts w:ascii="Times New Roman" w:hAnsi="Times New Roman"/>
          <w:b/>
          <w:bCs/>
        </w:rPr>
        <w:t xml:space="preserve">заседания закупочной  комиссии по </w:t>
      </w:r>
      <w:r>
        <w:rPr>
          <w:rFonts w:ascii="Times New Roman" w:hAnsi="Times New Roman"/>
          <w:b/>
          <w:bCs/>
        </w:rPr>
        <w:t>подведению итогов</w:t>
      </w:r>
      <w:r>
        <w:rPr>
          <w:rFonts w:ascii="Times New Roman" w:hAnsi="Times New Roman"/>
          <w:b/>
          <w:bCs/>
        </w:rPr>
        <w:t xml:space="preserve"> открыто</w:t>
      </w:r>
      <w:r>
        <w:rPr>
          <w:rFonts w:ascii="Times New Roman" w:hAnsi="Times New Roman"/>
          <w:b/>
          <w:bCs/>
        </w:rPr>
        <w:t>го</w:t>
      </w:r>
      <w:r>
        <w:rPr>
          <w:rFonts w:ascii="Times New Roman" w:hAnsi="Times New Roman"/>
          <w:b/>
          <w:bCs/>
        </w:rPr>
        <w:t xml:space="preserve"> конкурс</w:t>
      </w:r>
      <w:r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в электронной форме (МСП) на право заключения договора на </w:t>
      </w:r>
      <w:r>
        <w:rPr>
          <w:rFonts w:eastAsia="" w:cs="Times New Roman" w:ascii="Times New Roman" w:hAnsi="Times New Roman"/>
          <w:b/>
          <w:bCs/>
          <w:i w:val="false"/>
          <w:iCs w:val="false"/>
          <w:color w:val="000000"/>
          <w:sz w:val="24"/>
          <w:shd w:fill="FFFFFF" w:val="clear"/>
          <w:lang w:eastAsia="ru-RU"/>
        </w:rPr>
        <w:t>выполнение проектно-изыскательских работ при строительстве административно-бытового здания «Дом-атомщика» ООО «Арктик Атом-Сервис»</w:t>
      </w:r>
    </w:p>
    <w:p>
      <w:pPr>
        <w:pStyle w:val="Style22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4638"/>
        <w:gridCol w:w="5399"/>
      </w:tblGrid>
      <w:tr>
        <w:trPr/>
        <w:tc>
          <w:tcPr>
            <w:tcW w:w="4638" w:type="dxa"/>
            <w:tcBorders/>
          </w:tcPr>
          <w:p>
            <w:pPr>
              <w:pStyle w:val="Style22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399" w:type="dxa"/>
            <w:tcBorders/>
          </w:tcPr>
          <w:p>
            <w:pPr>
              <w:pStyle w:val="Style22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«28» мая 2026 г.</w:t>
            </w:r>
          </w:p>
          <w:p>
            <w:pPr>
              <w:pStyle w:val="Style22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</w:r>
          </w:p>
        </w:tc>
      </w:tr>
    </w:tbl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Конкурс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 № 217) (далее – ЕОСЗ), в редакции, указанной  в </w:t>
      </w:r>
      <w:r>
        <w:rPr>
          <w:rFonts w:ascii="Times New Roman" w:hAnsi="Times New Roman"/>
          <w:color w:val="000000"/>
          <w:lang w:eastAsia="ar-SA"/>
        </w:rPr>
        <w:t>документации по конкурсу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АКЦИОНЕРНОЕ ОБЩЕСТВО «</w:t>
      </w:r>
      <w:r>
        <w:rPr>
          <w:rFonts w:ascii="Times New Roman" w:hAnsi="Times New Roman"/>
        </w:rPr>
        <w:t>ЭЛЕКТРОННЫЕ ТОРГОВЫЕ СИСТЕМЫ</w:t>
      </w:r>
      <w:r>
        <w:rPr>
          <w:rFonts w:ascii="Times New Roman" w:hAnsi="Times New Roman"/>
        </w:rPr>
        <w:t>»  согласно регламенту ее работы.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Общество с ограниченной ответственностью «Арктик Атом-Сервис».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о</w:t>
      </w:r>
      <w:r>
        <w:rPr>
          <w:rFonts w:ascii="Times New Roman" w:hAnsi="Times New Roman"/>
          <w:bCs/>
        </w:rPr>
        <w:t xml:space="preserve">ткрытого аукциона </w:t>
      </w:r>
      <w:r>
        <w:rPr>
          <w:rFonts w:ascii="Times New Roman" w:hAnsi="Times New Roman"/>
        </w:rPr>
        <w:t>в электронной форме: ООО «Арктик Атом-Сервис».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color w:val="000000"/>
          <w:lang w:eastAsia="ar-SA"/>
        </w:rPr>
        <w:t>конкурса</w:t>
      </w:r>
      <w:r>
        <w:rPr>
          <w:rFonts w:ascii="Times New Roman" w:hAnsi="Times New Roman"/>
        </w:rPr>
        <w:t xml:space="preserve">: открытый конкурс в электронной форме (МСП) на </w:t>
      </w:r>
      <w:r>
        <w:rPr>
          <w:rFonts w:ascii="Times New Roman" w:hAnsi="Times New Roman"/>
          <w:bCs/>
        </w:rPr>
        <w:t>право заключения договора на</w:t>
      </w:r>
      <w:r>
        <w:rPr>
          <w:rFonts w:eastAsia="" w:cs="Times New Roman" w:ascii="Times New Roman" w:hAnsi="Times New Roman" w:eastAsiaTheme="minorEastAsia"/>
          <w:b w:val="false"/>
          <w:bCs/>
          <w:i w:val="false"/>
          <w:iCs w:val="false"/>
          <w:color w:val="000000" w:themeShade="bf"/>
          <w:sz w:val="24"/>
          <w:shd w:fill="FFFFFF" w:val="clear"/>
          <w:lang w:eastAsia="ru-RU"/>
        </w:rPr>
        <w:t xml:space="preserve"> </w:t>
      </w:r>
      <w:r>
        <w:rPr>
          <w:rFonts w:eastAsia="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hd w:fill="FFFFFF" w:val="clear"/>
          <w:lang w:eastAsia="ru-RU"/>
        </w:rPr>
        <w:t>выполнение проектно-изыскательских работ</w:t>
      </w:r>
      <w:r>
        <w:rPr>
          <w:rFonts w:eastAsia="" w:cs="Times New Roman" w:ascii="Times New Roman" w:hAnsi="Times New Roman" w:eastAsiaTheme="minorEastAsia"/>
          <w:b w:val="false"/>
          <w:bCs w:val="false"/>
          <w:i w:val="false"/>
          <w:iCs w:val="false"/>
          <w:color w:val="000000" w:themeShade="bf"/>
          <w:sz w:val="24"/>
          <w:shd w:fill="FFFFFF" w:val="clear"/>
          <w:lang w:eastAsia="ru-RU"/>
        </w:rPr>
        <w:br/>
      </w:r>
      <w:r>
        <w:rPr>
          <w:rFonts w:eastAsia="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hd w:fill="FFFFFF" w:val="clear"/>
          <w:lang w:eastAsia="ru-RU"/>
        </w:rPr>
        <w:t>при строительстве административно-бытового здания «Дом-атомщика» ООО</w:t>
      </w:r>
      <w:r>
        <w:rPr>
          <w:rFonts w:eastAsia="" w:cs="Times New Roman" w:ascii="Times New Roman" w:hAnsi="Times New Roman" w:eastAsiaTheme="minorEastAsia"/>
          <w:b w:val="false"/>
          <w:bCs w:val="false"/>
          <w:i w:val="false"/>
          <w:iCs w:val="false"/>
          <w:color w:val="000000" w:themeShade="bf"/>
          <w:sz w:val="24"/>
          <w:shd w:fill="FFFFFF" w:val="clear"/>
          <w:lang w:eastAsia="ru-RU"/>
        </w:rPr>
        <w:br/>
      </w:r>
      <w:r>
        <w:rPr>
          <w:rFonts w:eastAsia="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hd w:fill="FFFFFF" w:val="clear"/>
          <w:lang w:eastAsia="ru-RU"/>
        </w:rPr>
        <w:t>«Арктик Атом-Сервис»</w:t>
      </w:r>
      <w:r>
        <w:rPr>
          <w:rFonts w:eastAsia="" w:cs="Times New Roman" w:ascii="Times New Roman" w:hAnsi="Times New Roman" w:eastAsiaTheme="minorEastAsia"/>
          <w:b w:val="false"/>
          <w:bCs w:val="false"/>
          <w:i w:val="false"/>
          <w:iCs w:val="false"/>
          <w:color w:val="000000"/>
          <w:sz w:val="24"/>
          <w:shd w:fill="FFFFFF" w:val="clear"/>
          <w:lang w:eastAsia="ru-RU"/>
        </w:rPr>
        <w:t>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Предмет договора:</w:t>
      </w:r>
      <w:r>
        <w:rPr>
          <w:rFonts w:eastAsia="" w:cs="Times New Roman" w:ascii="Times New Roman" w:hAnsi="Times New Roman" w:eastAsiaTheme="minorEastAsia"/>
          <w:b w:val="false"/>
          <w:bCs/>
          <w:i w:val="false"/>
          <w:iCs w:val="false"/>
          <w:color w:val="000000" w:themeShade="bf"/>
          <w:sz w:val="24"/>
          <w:shd w:fill="FFFFFF" w:val="clear"/>
          <w:lang w:eastAsia="ru-RU"/>
        </w:rPr>
        <w:t xml:space="preserve"> </w:t>
      </w:r>
      <w:r>
        <w:rPr>
          <w:rFonts w:eastAsia="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hd w:fill="FFFFFF" w:val="clear"/>
          <w:lang w:eastAsia="ru-RU"/>
        </w:rPr>
        <w:t>выполнение проектно-изыскательских работ</w:t>
      </w:r>
      <w:r>
        <w:rPr>
          <w:rFonts w:eastAsia="" w:cs="Times New Roman" w:ascii="Times New Roman" w:hAnsi="Times New Roman" w:eastAsiaTheme="minorEastAsia"/>
          <w:b w:val="false"/>
          <w:bCs w:val="false"/>
          <w:i w:val="false"/>
          <w:iCs w:val="false"/>
          <w:color w:val="000000" w:themeShade="bf"/>
          <w:sz w:val="24"/>
          <w:shd w:fill="FFFFFF" w:val="clear"/>
          <w:lang w:eastAsia="ru-RU"/>
        </w:rPr>
        <w:br/>
      </w:r>
      <w:r>
        <w:rPr>
          <w:rFonts w:eastAsia="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hd w:fill="FFFFFF" w:val="clear"/>
          <w:lang w:eastAsia="ru-RU"/>
        </w:rPr>
        <w:t>при строительстве административно-бытового здания «Дом-атомщика» ООО</w:t>
      </w:r>
      <w:r>
        <w:rPr>
          <w:rFonts w:eastAsia="" w:cs="Times New Roman" w:ascii="Times New Roman" w:hAnsi="Times New Roman" w:eastAsiaTheme="minorEastAsia"/>
          <w:b w:val="false"/>
          <w:bCs w:val="false"/>
          <w:i w:val="false"/>
          <w:iCs w:val="false"/>
          <w:color w:val="000000" w:themeShade="bf"/>
          <w:sz w:val="24"/>
          <w:shd w:fill="FFFFFF" w:val="clear"/>
          <w:lang w:eastAsia="ru-RU"/>
        </w:rPr>
        <w:br/>
      </w:r>
      <w:r>
        <w:rPr>
          <w:rFonts w:eastAsia="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hd w:fill="FFFFFF" w:val="clear"/>
          <w:lang w:eastAsia="ru-RU"/>
        </w:rPr>
        <w:t>«Арктик Атом-Сервис»</w:t>
      </w:r>
      <w:r>
        <w:rPr>
          <w:rFonts w:eastAsia="" w:cs="Times New Roman" w:ascii="Times New Roman" w:hAnsi="Times New Roman" w:eastAsiaTheme="minorEastAsia"/>
          <w:b w:val="false"/>
          <w:bCs w:val="false"/>
          <w:i w:val="false"/>
          <w:iCs w:val="false"/>
          <w:color w:val="000000"/>
          <w:sz w:val="24"/>
          <w:shd w:fill="FFFFFF" w:val="clear"/>
          <w:lang w:eastAsia="ru-RU"/>
        </w:rPr>
        <w:t>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Состав и объем работ: все необходимые сведения приведены в Томе 2 извещения </w:t>
      </w:r>
      <w:r>
        <w:rPr>
          <w:rFonts w:eastAsia="Calibri" w:ascii="Times New Roman" w:hAnsi="Times New Roman" w:eastAsiaTheme="minorHAnsi"/>
        </w:rPr>
        <w:t>о проведении конкурса (закупочной документации)</w:t>
      </w:r>
      <w:r>
        <w:rPr>
          <w:rFonts w:eastAsia="Calibri" w:ascii="Times New Roman" w:hAnsi="Times New Roman"/>
        </w:rPr>
        <w:t>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 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Срок выполнения работ: </w:t>
      </w:r>
      <w:r>
        <w:rPr>
          <w:rFonts w:eastAsia="Calibri" w:ascii="Times New Roman" w:hAnsi="Times New Roman" w:eastAsiaTheme="minorHAnsi"/>
        </w:rPr>
        <w:t>в соответствии с частью 3 тома 1 закупочной документации «Проект договора».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 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Начальная (максимальная) цена договора: 26 115 932 (Двадцать шесть миллионов сто пятнадцать тысяч девятьсот тридцать два) рубля 00 копеек, включая НДС.</w:t>
      </w:r>
    </w:p>
    <w:p>
      <w:pPr>
        <w:pStyle w:val="Normal"/>
        <w:keepLines w:val="false"/>
        <w:tabs>
          <w:tab w:val="clear" w:pos="708"/>
          <w:tab w:val="left" w:pos="1134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1134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Начальная (максимальная) цена единицы работ:</w:t>
      </w:r>
    </w:p>
    <w:tbl>
      <w:tblPr>
        <w:tblW w:w="10156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noVBand="0" w:val="0000" w:noHBand="0" w:lastColumn="0" w:firstColumn="0" w:lastRow="0" w:firstRow="0"/>
      </w:tblPr>
      <w:tblGrid>
        <w:gridCol w:w="841"/>
        <w:gridCol w:w="6045"/>
        <w:gridCol w:w="3270"/>
      </w:tblGrid>
      <w:tr>
        <w:trPr>
          <w:trHeight w:val="744" w:hRule="atLeast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sz w:val="20"/>
                <w:szCs w:val="20"/>
                <w:lang w:eastAsia="ru-RU"/>
              </w:rPr>
              <w:t>N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eastAsia="" w:cs="Times New Roman" w:eastAsiaTheme="minorEastAsia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sz w:val="20"/>
                <w:szCs w:val="20"/>
                <w:lang w:eastAsia="ru-RU"/>
              </w:rPr>
              <w:t>Наименование продукции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sz w:val="20"/>
                <w:szCs w:val="20"/>
                <w:lang w:eastAsia="ru-RU"/>
              </w:rPr>
              <w:t>Начальная (максимальная) цена единицы продукции, руб., включая НДС</w:t>
            </w:r>
          </w:p>
        </w:tc>
      </w:tr>
      <w:tr>
        <w:trPr>
          <w:trHeight w:val="383" w:hRule="atLeast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атомщика" в городе Певек. Инженерно-геодезические изыскания</w:t>
            </w:r>
          </w:p>
        </w:tc>
        <w:tc>
          <w:tcPr>
            <w:tcW w:w="3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1 884 950,63</w:t>
            </w:r>
          </w:p>
        </w:tc>
      </w:tr>
      <w:tr>
        <w:trPr/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атомщика" в городе Певек. Инженерно-геологические изыскания</w:t>
            </w:r>
          </w:p>
        </w:tc>
        <w:tc>
          <w:tcPr>
            <w:tcW w:w="3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4 044 010,99</w:t>
            </w:r>
          </w:p>
        </w:tc>
      </w:tr>
      <w:tr>
        <w:trPr/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атомщика" в городе Певек. Инженерно-экологические изыскания</w:t>
            </w:r>
          </w:p>
        </w:tc>
        <w:tc>
          <w:tcPr>
            <w:tcW w:w="3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1 464 366,00</w:t>
            </w:r>
          </w:p>
        </w:tc>
      </w:tr>
      <w:tr>
        <w:trPr/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6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атомщика" в городе Певек. Инженерно-гидрометеорологические изыскания</w:t>
            </w:r>
          </w:p>
        </w:tc>
        <w:tc>
          <w:tcPr>
            <w:tcW w:w="3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1 202 066,00</w:t>
            </w:r>
          </w:p>
        </w:tc>
      </w:tr>
      <w:tr>
        <w:trPr>
          <w:trHeight w:val="690" w:hRule="atLeast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6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 в городе Певек. Буровые работы</w:t>
            </w:r>
          </w:p>
        </w:tc>
        <w:tc>
          <w:tcPr>
            <w:tcW w:w="3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1 281 000,00</w:t>
            </w:r>
          </w:p>
        </w:tc>
      </w:tr>
      <w:tr>
        <w:trPr/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6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атомщика" в городе Певек. Дизайн проект</w:t>
            </w:r>
          </w:p>
        </w:tc>
        <w:tc>
          <w:tcPr>
            <w:tcW w:w="3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7 869 610,00</w:t>
            </w:r>
          </w:p>
        </w:tc>
      </w:tr>
      <w:tr>
        <w:trPr/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6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атомщика" в городе Певек. Рабочая документация</w:t>
            </w:r>
          </w:p>
        </w:tc>
        <w:tc>
          <w:tcPr>
            <w:tcW w:w="3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2 934 218,38</w:t>
            </w:r>
          </w:p>
        </w:tc>
      </w:tr>
      <w:tr>
        <w:trPr>
          <w:trHeight w:val="735" w:hRule="atLeast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6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атомщика" в городе Певек. Эскизный проект</w:t>
            </w:r>
          </w:p>
        </w:tc>
        <w:tc>
          <w:tcPr>
            <w:tcW w:w="3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5 435 710,00</w:t>
            </w:r>
          </w:p>
        </w:tc>
      </w:tr>
    </w:tbl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 xml:space="preserve">конкурса в электронной форме (МСП) и документация по открытому конкурсу опубликованы «12» мая 2026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-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www</w:t>
        </w:r>
        <w:r>
          <w:rPr>
            <w:rStyle w:val="-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-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gov</w:t>
        </w:r>
        <w:r>
          <w:rPr>
            <w:rStyle w:val="-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-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lang w:eastAsia="ar-SA"/>
        </w:rPr>
        <w:t>32615998164</w:t>
      </w:r>
      <w:r>
        <w:rPr>
          <w:rFonts w:ascii="Times New Roman" w:hAnsi="Times New Roman"/>
          <w:color w:val="000000"/>
          <w:lang w:eastAsia="ar-SA"/>
        </w:rPr>
        <w:t xml:space="preserve">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-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-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-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-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lang w:eastAsia="ar-SA"/>
        </w:rPr>
        <w:t>202329</w:t>
      </w:r>
      <w:r>
        <w:rPr>
          <w:rFonts w:ascii="Times New Roman" w:hAnsi="Times New Roman"/>
          <w:color w:val="000000"/>
          <w:lang w:eastAsia="ar-SA"/>
        </w:rPr>
        <w:t>,</w:t>
      </w:r>
      <w:r>
        <w:rPr>
          <w:rFonts w:ascii="Times New Roman" w:hAnsi="Times New Roman"/>
          <w:color w:val="FF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на ЭТП АКЦИОНЕРНОЕ ОБЩЕСТВО «ЭЛЕКТРОННЫЕ ТОРГОВЫЕ СИСТЕМЫ» , закупка 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lang w:eastAsia="ar-SA"/>
        </w:rPr>
        <w:t>32615998164</w:t>
      </w:r>
      <w:r>
        <w:rPr>
          <w:rFonts w:ascii="Times New Roman" w:hAnsi="Times New Roman"/>
          <w:color w:val="000000"/>
          <w:lang w:eastAsia="ar-SA"/>
        </w:rPr>
        <w:t>.</w:t>
      </w:r>
    </w:p>
    <w:p>
      <w:pPr>
        <w:pStyle w:val="311"/>
        <w:ind w:hanging="0"/>
        <w:rPr>
          <w:b w:val="false"/>
          <w:bCs w:val="false"/>
          <w:color w:val="000000"/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</w:rPr>
      </w:r>
    </w:p>
    <w:p>
      <w:pPr>
        <w:pStyle w:val="311"/>
        <w:ind w:hanging="0"/>
        <w:rPr>
          <w:b w:val="false"/>
          <w:bCs w:val="false"/>
          <w:color w:val="000000"/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</w:rPr>
        <w:t>Заседание закупочной комиссии проводится в 08:00 (время московское) «2</w:t>
      </w:r>
      <w:r>
        <w:rPr>
          <w:b w:val="false"/>
          <w:bCs w:val="false"/>
          <w:color w:val="000000"/>
          <w:sz w:val="24"/>
          <w:szCs w:val="24"/>
        </w:rPr>
        <w:t>8</w:t>
      </w:r>
      <w:r>
        <w:rPr>
          <w:b w:val="false"/>
          <w:bCs w:val="false"/>
          <w:color w:val="000000"/>
          <w:sz w:val="24"/>
          <w:szCs w:val="24"/>
        </w:rPr>
        <w:t>» мая 2026 года, по адресу: 689400, Чукотский автономный округ, г. Певек, ул. Советская, д. 9.</w:t>
      </w:r>
    </w:p>
    <w:p>
      <w:pPr>
        <w:pStyle w:val="311"/>
        <w:ind w:hanging="0"/>
        <w:rPr>
          <w:b w:val="false"/>
          <w:bCs w:val="false"/>
          <w:color w:val="000000"/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4403"/>
        <w:gridCol w:w="5631"/>
      </w:tblGrid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Должность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Патрушев Е.Г.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Генеральный директор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Cs/>
              </w:rPr>
            </w:pPr>
            <w:r>
              <w:rPr>
                <w:rFonts w:eastAsia="Calibri" w:ascii="Times New Roman" w:hAnsi="Times New Roman"/>
                <w:bCs/>
              </w:rPr>
              <w:t>Барабанов В.О.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Cs/>
              </w:rPr>
            </w:pPr>
            <w:r>
              <w:rPr>
                <w:rFonts w:eastAsia="Calibri" w:ascii="Times New Roman" w:hAnsi="Times New Roman"/>
                <w:bCs/>
              </w:rPr>
              <w:t>Заместитель генерального директора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Круселёва Е.А.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993" w:leader="none"/>
              </w:tabs>
              <w:ind w:left="0" w:right="-1" w:hanging="0"/>
              <w:jc w:val="both"/>
              <w:rPr>
                <w:rFonts w:ascii="Times New Roman" w:hAnsi="Times New Roman"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Петерс Д.А.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993" w:leader="none"/>
              </w:tabs>
              <w:ind w:left="0" w:right="-1"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ГИТ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/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/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Макарятова М.Л.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993" w:leader="none"/>
              </w:tabs>
              <w:ind w:left="0" w:right="-1" w:hanging="0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Ведущий специалист ООЗ и МТО </w:t>
            </w:r>
          </w:p>
        </w:tc>
      </w:tr>
    </w:tbl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5 из 5 членов закупочной комиссии. Кворум имеется.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1. Согласно результатам открытия доступа к первым частям заявок на участие в конкурсе на 08:00 (время московское) «21» мая 2026 года на ЭТП АКЦИОНЕРНОЕ ОБЩЕСТВО «ЭЛЕКТРОННЫЕ ТОРГОВЫЕ СИСТЕМЫ», при подаче заявок на участие в конкурсе посредством программных и технических средств ЭТП АКЦИОНЕРНОЕ ОБЩЕСТВО «ЭЛЕКТРОННЫЕ ТОРГОВЫЕ СИСТЕМЫ» в рамках данного конкурса участнику присвоен следующий уникальный идентификационный номер: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1.1. Участник № 1 (присвоенный ЭТП идентификационный номер участника 32615998164-1-2).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1.2. Участник № 2 (присвоенный ЭТП идентификационный номер участника 32615998164-1-1).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1.3. Участник № 3 (присвоенный ЭТП идентификационный номер участника 32615998164-1-3).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 Согласно протоколу заседания закупочной комиссии по рассмотрению первых частей заявок от «2</w:t>
      </w:r>
      <w:r>
        <w:rPr>
          <w:rFonts w:ascii="Times New Roman" w:hAnsi="Times New Roman"/>
          <w:color w:val="000000"/>
          <w:lang w:eastAsia="ar-SA"/>
        </w:rPr>
        <w:t>5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>
        <w:rPr>
          <w:rFonts w:ascii="Times New Roman" w:hAnsi="Times New Roman"/>
          <w:color w:val="000000"/>
          <w:lang w:eastAsia="ar-SA"/>
        </w:rPr>
        <w:t>мая</w:t>
      </w:r>
      <w:r>
        <w:rPr>
          <w:rFonts w:ascii="Times New Roman" w:hAnsi="Times New Roman"/>
          <w:color w:val="000000"/>
          <w:lang w:eastAsia="ar-SA"/>
        </w:rPr>
        <w:t xml:space="preserve"> 2025 № 947/1</w:t>
      </w:r>
      <w:r>
        <w:rPr>
          <w:rFonts w:ascii="Times New Roman" w:hAnsi="Times New Roman"/>
          <w:color w:val="000000"/>
          <w:lang w:eastAsia="ar-SA"/>
        </w:rPr>
        <w:t>57</w:t>
      </w:r>
      <w:r>
        <w:rPr>
          <w:rFonts w:ascii="Times New Roman" w:hAnsi="Times New Roman"/>
          <w:color w:val="000000"/>
          <w:lang w:eastAsia="ar-SA"/>
        </w:rPr>
        <w:t>-Пр закупочной комиссией были приняты следующие решения:</w:t>
      </w:r>
    </w:p>
    <w:p>
      <w:pPr>
        <w:pStyle w:val="Normal"/>
        <w:keepLines w:val="false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 Допустить к дальнейшему участию в конкурсе участников, которым присвоены следующие уникальные идентификационные номера: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2.1.1. Участник № 2 (присвоенный ЭТП идентификационный номер участника 32615998164-1-1);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2.1.2. Участник № 3 (присвоенный ЭТП идентификационный номер участника 32615998164-1-3).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2.2. На основании п.п. а) п. 8.10 части 2 Тома 1 закупочной документации, отказать в допуске Участнику № 1 (присвоенный ЭТП идентификационный номер участника 32615998164-1-2), в связи с </w:t>
      </w:r>
      <w:r>
        <w:rPr>
          <w:rFonts w:ascii="Times New Roman" w:hAnsi="Times New Roman"/>
          <w:color w:val="000000"/>
          <w:sz w:val="24"/>
          <w:lang w:eastAsia="ar-SA"/>
        </w:rPr>
        <w:t>несоответствием требованиям закупочной документации первой части заявки по составу и содержанию, в том числе представленного технического предложения, а именно: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Техническое предложение, предоставленное участником № 1 не соответствует требованиям закупочной документации:</w:t>
      </w:r>
    </w:p>
    <w:p>
      <w:pPr>
        <w:pStyle w:val="Normal"/>
        <w:keepLines/>
        <w:widowControl/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В Разделе 8 Технического задания «»Сдача/приемка работ, требования к результатам работ» Заказчиком установлено требование о п</w:t>
      </w:r>
      <w:r>
        <w:rPr>
          <w:rFonts w:ascii="Times New Roman" w:hAnsi="Times New Roman"/>
          <w:color w:val="111111"/>
          <w:lang w:eastAsia="ar-SA"/>
        </w:rPr>
        <w:t xml:space="preserve">редоставлении Подрядчиком </w:t>
      </w:r>
      <w:r>
        <w:rPr>
          <w:rFonts w:ascii="Times New Roman" w:hAnsi="Times New Roman"/>
          <w:b/>
          <w:bCs/>
          <w:color w:val="111111"/>
          <w:lang w:eastAsia="ar-SA"/>
        </w:rPr>
        <w:t>комплекта инженерных изысканий, проектно-сметной документации и дизайн-проекта в бумажном варианте в 3-х экземплярах на бумажном носителе и 1 экземпляр в электронном виде</w:t>
      </w:r>
      <w:r>
        <w:rPr>
          <w:rFonts w:ascii="Times New Roman" w:hAnsi="Times New Roman"/>
          <w:color w:val="111111"/>
          <w:lang w:eastAsia="ar-SA"/>
        </w:rPr>
        <w:t xml:space="preserve"> (графические материалы предоставить в электронном виде в формате DWG и pdf, текстовые материалы, ведомости представить в форматах (*.doc), (*.xls), (*.pdf)).,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111111"/>
          <w:lang w:eastAsia="ar-SA"/>
        </w:rPr>
        <w:t xml:space="preserve">Участник № 1 в техническом предложении предлагает предоставление Подрядчиком </w:t>
      </w:r>
      <w:r>
        <w:rPr>
          <w:rFonts w:ascii="Times New Roman" w:hAnsi="Times New Roman"/>
          <w:b/>
          <w:bCs/>
          <w:color w:val="111111"/>
          <w:lang w:eastAsia="ar-SA"/>
        </w:rPr>
        <w:t>комплекта инженерных изысканий, рабочей документации и дизайн-проекта в бумажном варианте в 3-х экземплярах на бумажном носителе и 1 экземпляр в электронном виде</w:t>
      </w:r>
      <w:r>
        <w:rPr>
          <w:rFonts w:ascii="Times New Roman" w:hAnsi="Times New Roman"/>
          <w:color w:val="111111"/>
          <w:lang w:eastAsia="ar-SA"/>
        </w:rPr>
        <w:t xml:space="preserve"> (графические материалы предоставить в электронном виде в формате DWG и pdf, текстовые материалы, ведомости представить в форматах (*.doc), (*.xls), (*.pdf)).</w:t>
      </w:r>
    </w:p>
    <w:p>
      <w:pPr>
        <w:pStyle w:val="Normal"/>
        <w:keepLines/>
        <w:widowControl/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111111"/>
          <w:lang w:eastAsia="ar-SA"/>
        </w:rPr>
        <w:t xml:space="preserve">- В Разделе 9 Технического задания «Специальные требования» Заказчиком установлено:  «Передача согласованной Заказчиком проектной документации на рассмотрение в экспертизу для получения положительного заключения осуществляет Подрядчик. </w:t>
      </w:r>
      <w:r>
        <w:rPr>
          <w:rFonts w:ascii="Tinos" w:hAnsi="Tinos"/>
        </w:rPr>
        <w:t xml:space="preserve">Проектную и рабочую документацию с внесенными исправлениями </w:t>
      </w:r>
      <w:r>
        <w:rPr>
          <w:rFonts w:ascii="Tinos" w:hAnsi="Tinos"/>
          <w:color w:val="111111"/>
        </w:rPr>
        <w:t>по замечаниям экспертизы</w:t>
      </w:r>
      <w:r>
        <w:rPr>
          <w:rFonts w:ascii="Tinos" w:hAnsi="Tinos"/>
        </w:rPr>
        <w:t>, сброшюровать и выдать оформленной в установленном порядке, согласно требовниям ГОСТ в 4 экземплярах (</w:t>
      </w:r>
      <w:r>
        <w:rPr>
          <w:rFonts w:ascii="Tinos" w:hAnsi="Tinos"/>
          <w:b/>
          <w:bCs/>
        </w:rPr>
        <w:t>4 экземпляра проектной и 4 экземпляра проектно-сметной документации</w:t>
      </w:r>
      <w:r>
        <w:rPr>
          <w:rFonts w:ascii="Tinos" w:hAnsi="Tinos"/>
        </w:rPr>
        <w:t>), а также в электронной версии в формате doc, dwg, pdf. В электронной версии необходимо учесть следующие требования:</w:t>
      </w:r>
    </w:p>
    <w:p>
      <w:pPr>
        <w:pStyle w:val="Normal"/>
        <w:widowControl w:val="false"/>
        <w:tabs>
          <w:tab w:val="clear" w:pos="708"/>
          <w:tab w:val="left" w:pos="256" w:leader="none"/>
        </w:tabs>
        <w:spacing w:lineRule="auto" w:line="276"/>
        <w:ind w:hanging="0"/>
        <w:rPr>
          <w:rFonts w:ascii="Tinos" w:hAnsi="Tinos"/>
        </w:rPr>
      </w:pPr>
      <w:r>
        <w:rPr>
          <w:rFonts w:ascii="Tinos" w:hAnsi="Tinos"/>
        </w:rPr>
        <w:t>-</w:t>
        <w:tab/>
        <w:t>одна книга документации размещается в одной папке, в которой находятся несколько файлов (текстовые и графические приложения);</w:t>
      </w:r>
    </w:p>
    <w:p>
      <w:pPr>
        <w:pStyle w:val="Normal"/>
        <w:rPr>
          <w:rFonts w:ascii="Tinos" w:hAnsi="Tinos"/>
        </w:rPr>
      </w:pPr>
      <w:r>
        <w:rPr>
          <w:rFonts w:ascii="Tinos" w:hAnsi="Tinos"/>
          <w:color w:val="111111"/>
          <w:lang w:eastAsia="ar-SA"/>
        </w:rPr>
        <w:t>-</w:t>
        <w:tab/>
        <w:t xml:space="preserve">текстовая часть должна быть представлена в редактируемом и не редактируемом формате, графическая часть </w:t>
      </w:r>
      <w:r>
        <w:rPr>
          <w:rFonts w:ascii="Tinos" w:hAnsi="Tinos"/>
          <w:b/>
          <w:bCs/>
          <w:color w:val="111111"/>
          <w:lang w:eastAsia="ar-SA"/>
        </w:rPr>
        <w:t>проектно-сметной документации</w:t>
      </w:r>
      <w:r>
        <w:rPr>
          <w:rFonts w:ascii="Tinos" w:hAnsi="Tinos"/>
          <w:color w:val="111111"/>
          <w:lang w:eastAsia="ar-SA"/>
        </w:rPr>
        <w:t xml:space="preserve"> предоставляется в редактируемом формате dwg, отсканированную часть документации представить в формате pdf...»</w:t>
      </w:r>
    </w:p>
    <w:p>
      <w:pPr>
        <w:pStyle w:val="Normal"/>
        <w:keepLines/>
        <w:widowControl/>
        <w:suppressAutoHyphens w:val="true"/>
        <w:bidi w:val="0"/>
        <w:spacing w:before="0" w:after="0"/>
        <w:ind w:left="0" w:right="0" w:firstLine="510"/>
        <w:jc w:val="both"/>
        <w:rPr>
          <w:rFonts w:ascii="Tinos" w:hAnsi="Tinos"/>
        </w:rPr>
      </w:pPr>
      <w:r>
        <w:rPr>
          <w:rFonts w:ascii="Tinos" w:hAnsi="Tinos"/>
          <w:color w:val="111111"/>
          <w:lang w:eastAsia="ar-SA"/>
        </w:rPr>
        <w:t>Участник № 1 в техническом предложении предлагает: «</w:t>
      </w:r>
      <w:r>
        <w:rPr>
          <w:rFonts w:ascii="Times New Roman" w:hAnsi="Times New Roman"/>
          <w:color w:val="111111"/>
          <w:lang w:eastAsia="ar-SA"/>
        </w:rPr>
        <w:t xml:space="preserve">Передача согласованной Заказчиком проектной документации на рассмотрение в экспертизу для получения положительного заключения осуществляет Подрядчик. </w:t>
      </w:r>
      <w:r>
        <w:rPr>
          <w:rFonts w:ascii="Tinos" w:hAnsi="Tinos"/>
          <w:color w:val="111111"/>
          <w:lang w:eastAsia="ar-SA"/>
        </w:rPr>
        <w:t>Проектную и рабочую документацию с внесенными исправлениями по замечаниям экспертизы, сброшюровать и выдать оформленной в установленном порядке, согласно требовниям ГОСТ в 4 экземплярах (</w:t>
      </w:r>
      <w:r>
        <w:rPr>
          <w:rFonts w:ascii="Tinos" w:hAnsi="Tinos"/>
          <w:b/>
          <w:bCs/>
          <w:color w:val="111111"/>
          <w:lang w:eastAsia="ar-SA"/>
        </w:rPr>
        <w:t>4 экземпляра проектной и 4 экземпляра рабочей документации</w:t>
      </w:r>
      <w:r>
        <w:rPr>
          <w:rFonts w:ascii="Tinos" w:hAnsi="Tinos"/>
          <w:color w:val="111111"/>
          <w:lang w:eastAsia="ar-SA"/>
        </w:rPr>
        <w:t>), а также в электронной версии в формате doc, dwg, pdf. В электронной версии необходимо учесть следующие требования:</w:t>
      </w:r>
    </w:p>
    <w:p>
      <w:pPr>
        <w:pStyle w:val="Normal"/>
        <w:widowControl w:val="false"/>
        <w:tabs>
          <w:tab w:val="clear" w:pos="708"/>
          <w:tab w:val="left" w:pos="256" w:leader="none"/>
        </w:tabs>
        <w:spacing w:lineRule="auto" w:line="276"/>
        <w:ind w:hanging="0"/>
        <w:rPr>
          <w:rFonts w:ascii="Tinos" w:hAnsi="Tinos"/>
        </w:rPr>
      </w:pPr>
      <w:r>
        <w:rPr>
          <w:rFonts w:ascii="Tinos" w:hAnsi="Tinos"/>
        </w:rPr>
        <w:t>-</w:t>
        <w:tab/>
        <w:t>одна книга документации размещается в одной папке, в которой находятся несколько файлов (текстовые и графические приложения);</w:t>
      </w:r>
    </w:p>
    <w:p>
      <w:pPr>
        <w:pStyle w:val="Normal"/>
        <w:rPr>
          <w:rFonts w:ascii="Tinos" w:hAnsi="Tinos"/>
        </w:rPr>
      </w:pPr>
      <w:r>
        <w:rPr>
          <w:rFonts w:ascii="Tinos" w:hAnsi="Tinos"/>
          <w:color w:val="111111"/>
          <w:lang w:eastAsia="ar-SA"/>
        </w:rPr>
        <w:t>-</w:t>
        <w:tab/>
        <w:t xml:space="preserve">текстовая часть должна быть представлена в редактируемом и не редактируемом формате, графическая часть </w:t>
      </w:r>
      <w:r>
        <w:rPr>
          <w:rFonts w:ascii="Tinos" w:hAnsi="Tinos"/>
          <w:b/>
          <w:bCs/>
          <w:color w:val="111111"/>
          <w:lang w:eastAsia="ar-SA"/>
        </w:rPr>
        <w:t>проектной и рабочей</w:t>
      </w:r>
      <w:r>
        <w:rPr>
          <w:rFonts w:ascii="Tinos" w:hAnsi="Tinos"/>
          <w:color w:val="111111"/>
          <w:lang w:eastAsia="ar-SA"/>
        </w:rPr>
        <w:t xml:space="preserve"> документации предоставляется в редактируемом формате dwg, отсканированную часть документации представить в формате pdf...»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Результаты голосования членов закупочной комиссии: </w:t>
        <w:br/>
        <w:t xml:space="preserve">«за» - 5 голосов; 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«против» - 0 голосов;</w:t>
        <w:br/>
        <w:t xml:space="preserve">«воздержался» - 0 голосов. </w:t>
      </w:r>
    </w:p>
    <w:p>
      <w:pPr>
        <w:pStyle w:val="Normal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Calibri" w:ascii="Times New Roman" w:hAnsi="Times New Roman"/>
          <w:sz w:val="24"/>
          <w:szCs w:val="24"/>
        </w:rPr>
        <w:t>3</w:t>
      </w:r>
      <w:r>
        <w:rPr>
          <w:rFonts w:eastAsia="Calibri" w:ascii="Times New Roman" w:hAnsi="Times New Roman"/>
          <w:sz w:val="24"/>
          <w:szCs w:val="24"/>
        </w:rPr>
        <w:t xml:space="preserve">. </w:t>
      </w:r>
      <w:r>
        <w:rPr>
          <w:rFonts w:eastAsia="Calibri" w:ascii="Times New Roman" w:hAnsi="Times New Roman"/>
          <w:color w:val="000000"/>
          <w:sz w:val="24"/>
          <w:szCs w:val="24"/>
          <w:lang w:eastAsia="ar-SA"/>
        </w:rPr>
        <w:t xml:space="preserve">Согласно протоколу заседания закупочной комиссии по рассмотрению </w:t>
      </w:r>
      <w:r>
        <w:rPr>
          <w:rFonts w:eastAsia="Calibri" w:ascii="Times New Roman" w:hAnsi="Times New Roman"/>
          <w:color w:val="000000"/>
          <w:sz w:val="24"/>
          <w:szCs w:val="24"/>
          <w:lang w:eastAsia="ar-SA"/>
        </w:rPr>
        <w:t>вторых частей</w:t>
      </w:r>
      <w:r>
        <w:rPr>
          <w:rFonts w:eastAsia="Calibri" w:ascii="Times New Roman" w:hAnsi="Times New Roman"/>
          <w:color w:val="000000"/>
          <w:sz w:val="24"/>
          <w:szCs w:val="24"/>
          <w:lang w:eastAsia="ar-SA"/>
        </w:rPr>
        <w:t xml:space="preserve"> частей заявок от «28» апреля 2025 № 947/1</w:t>
      </w:r>
      <w:r>
        <w:rPr>
          <w:rFonts w:eastAsia="Calibri" w:ascii="Times New Roman" w:hAnsi="Times New Roman"/>
          <w:color w:val="000000"/>
          <w:sz w:val="24"/>
          <w:szCs w:val="24"/>
          <w:lang w:eastAsia="ar-SA"/>
        </w:rPr>
        <w:t>58</w:t>
      </w:r>
      <w:r>
        <w:rPr>
          <w:rFonts w:eastAsia="Calibri" w:ascii="Times New Roman" w:hAnsi="Times New Roman"/>
          <w:color w:val="000000"/>
          <w:sz w:val="24"/>
          <w:szCs w:val="24"/>
          <w:lang w:eastAsia="ar-SA"/>
        </w:rPr>
        <w:t>-Пр закупочной комиссией были приняты следующие решения:</w:t>
      </w:r>
    </w:p>
    <w:p>
      <w:pPr>
        <w:pStyle w:val="NormalWeb"/>
        <w:spacing w:before="280" w:after="280"/>
        <w:jc w:val="both"/>
        <w:rPr>
          <w:color w:val="000000"/>
          <w:lang w:eastAsia="ar-SA"/>
        </w:rPr>
      </w:pPr>
      <w:r>
        <w:rPr>
          <w:color w:val="000000"/>
          <w:sz w:val="24"/>
          <w:szCs w:val="24"/>
          <w:lang w:eastAsia="ar-SA"/>
        </w:rPr>
        <w:t>3</w:t>
      </w:r>
      <w:r>
        <w:rPr>
          <w:color w:val="000000"/>
          <w:sz w:val="24"/>
          <w:szCs w:val="24"/>
          <w:lang w:eastAsia="ar-SA"/>
        </w:rPr>
        <w:t>.1. Признать соотв</w:t>
      </w:r>
      <w:r>
        <w:rPr>
          <w:color w:val="000000"/>
          <w:lang w:eastAsia="ar-SA"/>
        </w:rPr>
        <w:t>етствующими требованиям закупочной документации заявки следующих участников:</w:t>
      </w:r>
    </w:p>
    <w:p>
      <w:pPr>
        <w:pStyle w:val="NormalWeb"/>
        <w:spacing w:before="0" w:after="0"/>
        <w:jc w:val="both"/>
        <w:rPr/>
      </w:pPr>
      <w:r>
        <w:rPr>
          <w:rFonts w:eastAsia="Calibri"/>
        </w:rPr>
        <w:t>3</w:t>
      </w:r>
      <w:r>
        <w:rPr>
          <w:rFonts w:eastAsia="Calibri"/>
        </w:rPr>
        <w:t xml:space="preserve">.1.1. </w:t>
      </w:r>
      <w:r>
        <w:rPr>
          <w:rFonts w:eastAsia="Calibri"/>
          <w:color w:val="000000"/>
          <w:lang w:eastAsia="ar-SA"/>
        </w:rPr>
        <w:t>Участник № 2 (присвоенный ЭТП идентификационный номер участника 32615998164-1-1) ИП Чевдар Олег Петрович</w:t>
      </w:r>
      <w:r>
        <w:rPr>
          <w:rFonts w:eastAsia="Calibri"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ar-SA"/>
        </w:rPr>
        <w:t>;</w:t>
      </w:r>
    </w:p>
    <w:p>
      <w:pPr>
        <w:pStyle w:val="NormalWeb"/>
        <w:spacing w:before="0" w:after="0"/>
        <w:jc w:val="both"/>
        <w:rPr/>
      </w:pPr>
      <w:r>
        <w:rPr>
          <w:rFonts w:eastAsia="Calibri"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ar-SA"/>
        </w:rPr>
        <w:t>3</w:t>
      </w:r>
      <w:r>
        <w:rPr>
          <w:rFonts w:eastAsia="Calibri"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ar-SA"/>
        </w:rPr>
        <w:t xml:space="preserve">.1.2. Участник № 3 (присвоенный ЭТП идентификационный номер участника </w:t>
      </w:r>
      <w:r>
        <w:rPr>
          <w:rFonts w:eastAsia="Calibri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ar-SA"/>
        </w:rPr>
        <w:t>32615998164-1-3</w:t>
      </w:r>
      <w:r>
        <w:rPr>
          <w:rFonts w:eastAsia="Calibri"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ar-SA"/>
        </w:rPr>
        <w:t>) ООО «УФАНИПИНЕФТЬ".</w:t>
      </w:r>
    </w:p>
    <w:p>
      <w:pPr>
        <w:pStyle w:val="NormalWeb"/>
        <w:spacing w:before="0" w:after="0"/>
        <w:jc w:val="both"/>
        <w:rPr>
          <w:rFonts w:ascii="Tinos" w:hAnsi="Tinos" w:eastAsia="Calibri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ar-SA"/>
        </w:rPr>
      </w:pPr>
      <w:r>
        <w:rPr>
          <w:rFonts w:eastAsia="Calibri"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ar-SA"/>
        </w:rPr>
      </w:r>
    </w:p>
    <w:p>
      <w:pPr>
        <w:pStyle w:val="Normal"/>
        <w:keepLines w:val="false"/>
        <w:jc w:val="left"/>
        <w:rPr>
          <w:rFonts w:ascii="Times New Roman CYR" w:hAnsi="Times New Roman CYR" w:eastAsia="Calibri" w:cs="Times New Roman CYR"/>
          <w:color w:val="000000"/>
          <w:lang w:eastAsia="ar-SA"/>
        </w:rPr>
      </w:pPr>
      <w:r>
        <w:rPr>
          <w:rFonts w:eastAsia="Calibri" w:cs="Times New Roman CYR" w:ascii="Times New Roman CYR" w:hAnsi="Times New Roman CYR"/>
          <w:color w:val="000000"/>
          <w:lang w:eastAsia="ar-SA"/>
        </w:rPr>
        <w:t xml:space="preserve">Результаты голосования членов закупочной комиссии: </w:t>
        <w:br/>
      </w:r>
      <w:r>
        <w:rPr>
          <w:rFonts w:ascii="Times New Roman" w:hAnsi="Times New Roman"/>
        </w:rPr>
        <w:t>«за» - 5 голосов;</w:t>
        <w:br/>
        <w:t>«против» - 0 голосов;</w:t>
        <w:br/>
        <w:t>«воздержался» - 0 голосов.</w:t>
      </w:r>
      <w:r>
        <w:rPr>
          <w:rFonts w:eastAsia="Calibri" w:cs="Times New Roman CYR" w:ascii="Times New Roman CYR" w:hAnsi="Times New Roman CYR"/>
          <w:color w:val="000000"/>
          <w:lang w:eastAsia="ar-SA"/>
        </w:rPr>
        <w:t xml:space="preserve"> </w:t>
      </w:r>
    </w:p>
    <w:p>
      <w:pPr>
        <w:pStyle w:val="Normal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  <w:color w:val="000000"/>
          <w:lang w:eastAsia="ar-SA"/>
        </w:rPr>
        <w:t>Количество отклоненных заявок участников: 0.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4. Согласно протоколу сопоставления дополнительных ценовых предложений от «27» мая 2026г., информация о дополнительных ценовых предложения участников:</w:t>
      </w:r>
    </w:p>
    <w:p>
      <w:pPr>
        <w:pStyle w:val="Normal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tbl>
      <w:tblPr>
        <w:tblW w:w="1005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322"/>
        <w:gridCol w:w="3800"/>
        <w:gridCol w:w="2379"/>
        <w:gridCol w:w="2554"/>
      </w:tblGrid>
      <w:tr>
        <w:trPr>
          <w:trHeight w:val="1103" w:hRule="atLeast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sz w:val="24"/>
                <w:szCs w:val="24"/>
              </w:rPr>
              <w:t>Дата и время регистрации заявки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>Ценовое предложение, сделанное участником закупки</w:t>
            </w:r>
          </w:p>
        </w:tc>
      </w:tr>
      <w:tr>
        <w:trPr>
          <w:trHeight w:val="566" w:hRule="atLeast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hanging="0"/>
              <w:contextualSpacing/>
              <w:jc w:val="center"/>
              <w:outlineLvl w:val="0"/>
              <w:rPr/>
            </w:pPr>
            <w:r>
              <w:rPr>
                <w:rFonts w:ascii="Times New Roman" w:hAnsi="Times New Roman"/>
                <w:color w:val="000000"/>
                <w:lang w:eastAsia="ar-SA"/>
              </w:rPr>
              <w:t>32615998164-1-1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Участник 2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Tinos" w:hAnsi="Tinos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ИП Чевдар Олег Петрович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sz w:val="24"/>
                <w:szCs w:val="24"/>
              </w:rPr>
              <w:t>21.05.2026 01:33:39 (время московское)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26 115 932,00 рублей, без НДС</w:t>
            </w:r>
          </w:p>
        </w:tc>
      </w:tr>
      <w:tr>
        <w:trPr>
          <w:trHeight w:val="566" w:hRule="atLeast"/>
        </w:trPr>
        <w:tc>
          <w:tcPr>
            <w:tcW w:w="13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hanging="0"/>
              <w:contextualSpacing/>
              <w:jc w:val="center"/>
              <w:outlineLvl w:val="0"/>
              <w:rPr/>
            </w:pPr>
            <w:r>
              <w:rPr>
                <w:rFonts w:ascii="Times New Roman" w:hAnsi="Times New Roman"/>
                <w:color w:val="000000"/>
                <w:lang w:eastAsia="ar-SA"/>
              </w:rPr>
              <w:t>32615998164-1-3</w:t>
            </w:r>
          </w:p>
        </w:tc>
        <w:tc>
          <w:tcPr>
            <w:tcW w:w="3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Участник 3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ООО «УФАНИПИНЕФТЬ»</w:t>
            </w:r>
          </w:p>
        </w:tc>
        <w:tc>
          <w:tcPr>
            <w:tcW w:w="23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21.05.2026 07:41:45 (время московское)</w:t>
            </w:r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23 496 321,99</w:t>
            </w:r>
            <w:r>
              <w:rPr>
                <w:rFonts w:ascii="Tinos" w:hAnsi="Tinos"/>
                <w:sz w:val="24"/>
                <w:szCs w:val="24"/>
              </w:rPr>
              <w:t xml:space="preserve"> рублей, с НДС 5 %</w:t>
            </w:r>
          </w:p>
        </w:tc>
      </w:tr>
    </w:tbl>
    <w:p>
      <w:pPr>
        <w:pStyle w:val="Normal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>. В соответствии с Приложением № 10 к ЕОСЗ и с разделом 4 Закупочной документации «Критерии и методика оценки заявок на участие в закупке» закупочной документации, критерии оценки заявок на участие и количество баллов, присужденных закупочной комиссией каждой заявке, а также итоговый рейтинг заявки, составляют: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157" w:type="dxa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32"/>
        <w:gridCol w:w="1779"/>
        <w:gridCol w:w="1814"/>
        <w:gridCol w:w="1780"/>
        <w:gridCol w:w="1852"/>
      </w:tblGrid>
      <w:tr>
        <w:trPr/>
        <w:tc>
          <w:tcPr>
            <w:tcW w:w="293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19"/>
                <w:szCs w:val="19"/>
                <w:shd w:fill="auto" w:val="clear"/>
              </w:rPr>
              <w:t>Наименование критерия/подкритерия (вес критерия/ подкритерия)</w:t>
            </w:r>
          </w:p>
        </w:tc>
        <w:tc>
          <w:tcPr>
            <w:tcW w:w="7225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>Участник закупки /баллы, присвоенные заявкам участников закупки с учетом значимости (веса) критерия (подкритерия)</w:t>
            </w:r>
          </w:p>
        </w:tc>
      </w:tr>
      <w:tr>
        <w:trPr/>
        <w:tc>
          <w:tcPr>
            <w:tcW w:w="2932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eastAsiaTheme="minorHAnsi" w:ascii="Times New Roman" w:hAnsi="Times New Roman"/>
                <w:b/>
                <w:bCs/>
                <w:sz w:val="20"/>
                <w:szCs w:val="20"/>
                <w:shd w:fill="auto" w:val="clear"/>
              </w:rPr>
            </w:r>
          </w:p>
        </w:tc>
        <w:tc>
          <w:tcPr>
            <w:tcW w:w="359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>ИП Чевдар О.П.</w:t>
            </w: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br/>
              <w:t>Цена заявки: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>26 115 932</w:t>
            </w: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 xml:space="preserve"> рублей </w:t>
            </w: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>00</w:t>
            </w: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 xml:space="preserve"> копеек, без НДС</w:t>
            </w:r>
          </w:p>
        </w:tc>
        <w:tc>
          <w:tcPr>
            <w:tcW w:w="363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>ООО «УФАНИПИНЕФТЬ»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>Цена заявки: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>23 496 321</w:t>
            </w: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 xml:space="preserve"> рубль </w:t>
            </w: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>99</w:t>
            </w: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 xml:space="preserve"> копеек, с НДС</w:t>
            </w:r>
          </w:p>
        </w:tc>
      </w:tr>
      <w:tr>
        <w:trPr>
          <w:trHeight w:val="487" w:hRule="atLeast"/>
        </w:trPr>
        <w:tc>
          <w:tcPr>
            <w:tcW w:w="2932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 w:eastAsiaTheme="minorHAnsi"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eastAsiaTheme="minorHAnsi" w:ascii="Times New Roman" w:hAnsi="Times New Roman"/>
                <w:b/>
                <w:bCs/>
                <w:sz w:val="20"/>
                <w:szCs w:val="20"/>
                <w:shd w:fill="auto" w:val="clear"/>
              </w:rPr>
            </w:r>
          </w:p>
        </w:tc>
        <w:tc>
          <w:tcPr>
            <w:tcW w:w="1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>баллы</w:t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>с учетом веса</w:t>
            </w:r>
          </w:p>
        </w:tc>
        <w:tc>
          <w:tcPr>
            <w:tcW w:w="1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>баллы</w:t>
            </w:r>
          </w:p>
        </w:tc>
        <w:tc>
          <w:tcPr>
            <w:tcW w:w="1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>с учетом веса</w:t>
            </w:r>
          </w:p>
        </w:tc>
      </w:tr>
      <w:tr>
        <w:trPr/>
        <w:tc>
          <w:tcPr>
            <w:tcW w:w="29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z w:val="20"/>
                <w:szCs w:val="20"/>
                <w:shd w:fill="auto" w:val="clear"/>
              </w:rPr>
              <w:t>Цена договора (100% )</w:t>
            </w:r>
          </w:p>
        </w:tc>
        <w:tc>
          <w:tcPr>
            <w:tcW w:w="17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89,97</w:t>
            </w:r>
          </w:p>
        </w:tc>
        <w:tc>
          <w:tcPr>
            <w:tcW w:w="18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  <w:lang w:val="en-US"/>
              </w:rPr>
              <w:t>89,97</w:t>
            </w:r>
          </w:p>
        </w:tc>
        <w:tc>
          <w:tcPr>
            <w:tcW w:w="17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100,00</w:t>
            </w:r>
          </w:p>
        </w:tc>
        <w:tc>
          <w:tcPr>
            <w:tcW w:w="1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shd w:fill="auto" w:val="clear"/>
              </w:rPr>
              <w:t>100,00</w:t>
            </w:r>
          </w:p>
        </w:tc>
      </w:tr>
      <w:tr>
        <w:trPr>
          <w:trHeight w:val="306" w:hRule="atLeast"/>
        </w:trPr>
        <w:tc>
          <w:tcPr>
            <w:tcW w:w="29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>Рейтинг заявки (итоговый балл)</w:t>
            </w:r>
          </w:p>
        </w:tc>
        <w:tc>
          <w:tcPr>
            <w:tcW w:w="177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highlight w:val="none"/>
                <w:shd w:fill="auto" w:val="clear"/>
              </w:rPr>
            </w:pPr>
            <w:r>
              <w:rPr>
                <w:rFonts w:eastAsia="Calibri" w:eastAsiaTheme="minorHAnsi" w:ascii="Times New Roman" w:hAnsi="Times New Roman"/>
                <w:b/>
                <w:bCs/>
                <w:shd w:fill="auto" w:val="clear"/>
              </w:rPr>
            </w:r>
          </w:p>
        </w:tc>
        <w:tc>
          <w:tcPr>
            <w:tcW w:w="181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hd w:fill="auto" w:val="clear"/>
                <w:lang w:val="en-US"/>
              </w:rPr>
              <w:t>89,97</w:t>
            </w:r>
          </w:p>
        </w:tc>
        <w:tc>
          <w:tcPr>
            <w:tcW w:w="178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b/>
                <w:bCs/>
                <w:highlight w:val="none"/>
                <w:shd w:fill="auto" w:val="clear"/>
              </w:rPr>
            </w:pPr>
            <w:r>
              <w:rPr>
                <w:rFonts w:eastAsia="Calibri" w:eastAsiaTheme="minorHAnsi" w:ascii="Times New Roman" w:hAnsi="Times New Roman"/>
                <w:b/>
                <w:bCs/>
                <w:shd w:fill="auto" w:val="clear"/>
              </w:rPr>
            </w:r>
          </w:p>
        </w:tc>
        <w:tc>
          <w:tcPr>
            <w:tcW w:w="185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hd w:fill="auto" w:val="clear"/>
              </w:rPr>
              <w:t>100,00</w:t>
            </w:r>
          </w:p>
        </w:tc>
      </w:tr>
      <w:tr>
        <w:trPr>
          <w:trHeight w:val="306" w:hRule="atLeast"/>
        </w:trPr>
        <w:tc>
          <w:tcPr>
            <w:tcW w:w="29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ascii="Tinos" w:hAnsi="Tinos" w:eastAsiaTheme="minorHAnsi"/>
                <w:sz w:val="20"/>
                <w:szCs w:val="20"/>
                <w:shd w:fill="auto" w:val="clear"/>
              </w:rPr>
              <w:t>|Значение деловой репутации</w:t>
            </w:r>
          </w:p>
        </w:tc>
        <w:tc>
          <w:tcPr>
            <w:tcW w:w="177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 w:eastAsia="Calibri" w:eastAsiaTheme="minorHAnsi"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eastAsiaTheme="minorHAnsi" w:ascii="Tinos" w:hAnsi="Tinos"/>
                <w:b/>
                <w:bCs/>
                <w:sz w:val="20"/>
                <w:szCs w:val="20"/>
                <w:shd w:fill="auto" w:val="clear"/>
              </w:rPr>
            </w:r>
          </w:p>
        </w:tc>
        <w:tc>
          <w:tcPr>
            <w:tcW w:w="181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>0,00</w:t>
            </w:r>
          </w:p>
        </w:tc>
        <w:tc>
          <w:tcPr>
            <w:tcW w:w="178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 w:eastAsia="Calibri" w:eastAsiaTheme="minorHAnsi"/>
                <w:b/>
                <w:bCs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eastAsiaTheme="minorHAnsi" w:ascii="Tinos" w:hAnsi="Tinos"/>
                <w:b/>
                <w:bCs/>
                <w:sz w:val="24"/>
                <w:szCs w:val="24"/>
                <w:shd w:fill="auto" w:val="clear"/>
              </w:rPr>
            </w:r>
          </w:p>
        </w:tc>
        <w:tc>
          <w:tcPr>
            <w:tcW w:w="185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  <w:shd w:fill="auto" w:val="clear"/>
              </w:rPr>
              <w:t>0,00</w:t>
            </w:r>
          </w:p>
        </w:tc>
      </w:tr>
      <w:tr>
        <w:trPr>
          <w:trHeight w:val="306" w:hRule="atLeast"/>
        </w:trPr>
        <w:tc>
          <w:tcPr>
            <w:tcW w:w="29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Tinos" w:hAnsi="Tinos"/>
                <w:sz w:val="20"/>
                <w:szCs w:val="20"/>
                <w:shd w:fill="auto" w:val="clear"/>
              </w:rPr>
              <w:t>Значение оценки уровня обеспеченности финансовыми ресурсами</w:t>
            </w:r>
          </w:p>
        </w:tc>
        <w:tc>
          <w:tcPr>
            <w:tcW w:w="177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 w:eastAsia="Calibri" w:eastAsiaTheme="minorHAnsi"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eastAsia="Calibri" w:eastAsiaTheme="minorHAnsi" w:ascii="Tinos" w:hAnsi="Tinos"/>
                <w:b/>
                <w:bCs/>
                <w:sz w:val="20"/>
                <w:szCs w:val="20"/>
                <w:shd w:fill="auto" w:val="clear"/>
              </w:rPr>
            </w:r>
          </w:p>
        </w:tc>
        <w:tc>
          <w:tcPr>
            <w:tcW w:w="181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0,00</w:t>
            </w:r>
          </w:p>
        </w:tc>
        <w:tc>
          <w:tcPr>
            <w:tcW w:w="178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 w:eastAsia="Calibri" w:eastAsiaTheme="minorHAnsi"/>
                <w:b/>
                <w:bCs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Calibri" w:eastAsiaTheme="minorHAnsi" w:ascii="Tinos" w:hAnsi="Tinos"/>
                <w:b/>
                <w:bCs/>
                <w:sz w:val="24"/>
                <w:szCs w:val="24"/>
                <w:shd w:fill="auto" w:val="clear"/>
              </w:rPr>
            </w:r>
          </w:p>
        </w:tc>
        <w:tc>
          <w:tcPr>
            <w:tcW w:w="185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0,00</w:t>
            </w:r>
          </w:p>
        </w:tc>
      </w:tr>
      <w:tr>
        <w:trPr>
          <w:trHeight w:val="306" w:hRule="atLeast"/>
        </w:trPr>
        <w:tc>
          <w:tcPr>
            <w:tcW w:w="293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z w:val="20"/>
                <w:szCs w:val="20"/>
                <w:shd w:fill="auto" w:val="clear"/>
              </w:rPr>
              <w:t>Итоговый рейтинг заявки (итоговый балл)</w:t>
            </w:r>
          </w:p>
        </w:tc>
        <w:tc>
          <w:tcPr>
            <w:tcW w:w="177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  <w:highlight w:val="none"/>
                <w:shd w:fill="auto" w:val="clear"/>
              </w:rPr>
            </w:pPr>
            <w:r>
              <w:rPr>
                <w:rFonts w:eastAsia="Calibri" w:eastAsiaTheme="minorHAnsi" w:ascii="Times New Roman" w:hAnsi="Times New Roman"/>
                <w:b/>
                <w:bCs/>
                <w:shd w:fill="auto" w:val="clear"/>
              </w:rPr>
            </w:r>
          </w:p>
        </w:tc>
        <w:tc>
          <w:tcPr>
            <w:tcW w:w="181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hd w:fill="auto" w:val="clear"/>
                <w:lang w:val="en-US"/>
              </w:rPr>
              <w:t>89,97</w:t>
            </w:r>
          </w:p>
        </w:tc>
        <w:tc>
          <w:tcPr>
            <w:tcW w:w="178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b/>
                <w:bCs/>
                <w:highlight w:val="none"/>
                <w:shd w:fill="auto" w:val="clear"/>
              </w:rPr>
            </w:pPr>
            <w:r>
              <w:rPr>
                <w:rFonts w:eastAsia="Calibri" w:eastAsiaTheme="minorHAnsi" w:ascii="Times New Roman" w:hAnsi="Times New Roman"/>
                <w:b/>
                <w:bCs/>
                <w:shd w:fill="auto" w:val="clear"/>
              </w:rPr>
            </w:r>
          </w:p>
        </w:tc>
        <w:tc>
          <w:tcPr>
            <w:tcW w:w="185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  <w:highlight w:val="none"/>
                <w:shd w:fill="auto" w:val="clear"/>
              </w:rPr>
            </w:pPr>
            <w:r>
              <w:rPr>
                <w:rFonts w:eastAsia="Calibri" w:ascii="Times New Roman" w:hAnsi="Times New Roman" w:eastAsiaTheme="minorHAnsi"/>
                <w:b/>
                <w:bCs/>
                <w:shd w:fill="auto" w:val="clear"/>
              </w:rPr>
              <w:t>100,00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  <w:lang w:val="en-US"/>
        </w:rPr>
      </w:pPr>
      <w:r>
        <w:rPr>
          <w:rFonts w:eastAsia="Calibri" w:eastAsiaTheme="minorHAnsi" w:ascii="Times New Roman" w:hAnsi="Times New Roman"/>
          <w:lang w:val="en-US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6</w:t>
      </w:r>
      <w:r>
        <w:rPr>
          <w:rFonts w:eastAsia="Calibri" w:ascii="Times New Roman" w:hAnsi="Times New Roman"/>
        </w:rPr>
        <w:t xml:space="preserve">. </w:t>
      </w:r>
      <w:r>
        <w:rPr>
          <w:rFonts w:ascii="Times New Roman" w:hAnsi="Times New Roman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оценен наибольшим количеством баллов):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tbl>
      <w:tblPr>
        <w:tblW w:w="495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839"/>
        <w:gridCol w:w="1886"/>
        <w:gridCol w:w="4334"/>
        <w:gridCol w:w="2874"/>
      </w:tblGrid>
      <w:tr>
        <w:trPr>
          <w:trHeight w:val="1348" w:hRule="atLeast"/>
        </w:trPr>
        <w:tc>
          <w:tcPr>
            <w:tcW w:w="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Cs/>
              </w:rPr>
            </w:pPr>
            <w:r>
              <w:rPr>
                <w:rFonts w:eastAsia="Calibri" w:ascii="Times New Roman" w:hAnsi="Times New Roman" w:eastAsiaTheme="minorHAnsi"/>
                <w:bCs/>
              </w:rPr>
              <w:t>Место</w:t>
            </w:r>
          </w:p>
        </w:tc>
        <w:tc>
          <w:tcPr>
            <w:tcW w:w="18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Cs/>
              </w:rPr>
            </w:pPr>
            <w:r>
              <w:rPr>
                <w:rFonts w:eastAsia="Calibri" w:ascii="Times New Roman" w:hAnsi="Times New Roman" w:eastAsiaTheme="minorHAnsi"/>
                <w:bCs/>
              </w:rPr>
              <w:t>Рег. № заявки на ЭТП</w:t>
            </w:r>
          </w:p>
        </w:tc>
        <w:tc>
          <w:tcPr>
            <w:tcW w:w="4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Cs/>
              </w:rPr>
            </w:pPr>
            <w:r>
              <w:rPr>
                <w:rFonts w:eastAsia="Calibri" w:ascii="Times New Roman" w:hAnsi="Times New Roman" w:eastAsiaTheme="minorHAnsi"/>
                <w:bCs/>
              </w:rPr>
              <w:t>Наименование участника закупки</w:t>
            </w:r>
          </w:p>
        </w:tc>
        <w:tc>
          <w:tcPr>
            <w:tcW w:w="28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Cs/>
              </w:rPr>
            </w:pPr>
            <w:r>
              <w:rPr>
                <w:rFonts w:eastAsia="Calibri" w:ascii="Times New Roman" w:hAnsi="Times New Roman" w:eastAsiaTheme="minorHAnsi"/>
                <w:bCs/>
              </w:rPr>
              <w:t>Ценовое предложение, сделанное участником закупки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  <w:bCs/>
              </w:rPr>
            </w:pPr>
            <w:r>
              <w:rPr>
                <w:rFonts w:eastAsia="Calibri" w:ascii="Times New Roman" w:hAnsi="Times New Roman" w:eastAsiaTheme="minorHAnsi"/>
                <w:bCs/>
              </w:rPr>
              <w:t xml:space="preserve">(в том числе с НДС) </w:t>
            </w:r>
          </w:p>
        </w:tc>
      </w:tr>
      <w:tr>
        <w:trPr>
          <w:trHeight w:val="1186" w:hRule="atLeast"/>
        </w:trPr>
        <w:tc>
          <w:tcPr>
            <w:tcW w:w="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18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hanging="0"/>
              <w:contextualSpacing/>
              <w:jc w:val="center"/>
              <w:outlineLvl w:val="0"/>
              <w:rPr/>
            </w:pPr>
            <w:r>
              <w:rPr>
                <w:rFonts w:ascii="Times New Roman" w:hAnsi="Times New Roman"/>
                <w:color w:val="000000"/>
                <w:lang w:eastAsia="ar-SA"/>
              </w:rPr>
              <w:t>32615998164-1-3</w:t>
            </w:r>
          </w:p>
        </w:tc>
        <w:tc>
          <w:tcPr>
            <w:tcW w:w="4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ООО «УФАНИПИНЕФТЬ»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ИНН 0277138457</w:t>
            </w:r>
          </w:p>
          <w:p>
            <w:pPr>
              <w:pStyle w:val="Normal"/>
              <w:widowControl w:val="false"/>
              <w:jc w:val="center"/>
              <w:rPr>
                <w:rFonts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Адрес: 450901 г. Уфа, п. Новые Черкассы, ул. Юрия Гагарина, д.11/2</w:t>
            </w:r>
          </w:p>
          <w:p>
            <w:pPr>
              <w:pStyle w:val="Normal"/>
              <w:widowControl w:val="false"/>
              <w:jc w:val="center"/>
              <w:rPr>
                <w:rFonts w:eastAsia="Calibri" w:eastAsiaTheme="minorHAnsi"/>
              </w:rPr>
            </w:pPr>
            <w:r>
              <w:rPr>
                <w:rFonts w:eastAsia="Calibri" w:eastAsiaTheme="minorHAnsi"/>
              </w:rPr>
            </w:r>
          </w:p>
        </w:tc>
        <w:tc>
          <w:tcPr>
            <w:tcW w:w="28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ascii="Tinos" w:hAnsi="Tinos"/>
              </w:rPr>
              <w:t>23 496 321,99</w:t>
            </w:r>
            <w:r>
              <w:rPr>
                <w:rFonts w:ascii="Tinos" w:hAnsi="Tinos"/>
              </w:rPr>
              <w:t xml:space="preserve"> рублей, включая НДС</w:t>
            </w:r>
          </w:p>
        </w:tc>
      </w:tr>
      <w:tr>
        <w:trPr>
          <w:trHeight w:val="1373" w:hRule="atLeast"/>
        </w:trPr>
        <w:tc>
          <w:tcPr>
            <w:tcW w:w="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</w:t>
            </w:r>
          </w:p>
        </w:tc>
        <w:tc>
          <w:tcPr>
            <w:tcW w:w="18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hanging="0"/>
              <w:contextualSpacing/>
              <w:jc w:val="center"/>
              <w:outlineLvl w:val="0"/>
              <w:rPr/>
            </w:pPr>
            <w:r>
              <w:rPr>
                <w:rFonts w:ascii="Times New Roman" w:hAnsi="Times New Roman"/>
                <w:color w:val="000000"/>
                <w:lang w:eastAsia="ar-SA"/>
              </w:rPr>
              <w:t>32615998164-1-1</w:t>
            </w:r>
          </w:p>
        </w:tc>
        <w:tc>
          <w:tcPr>
            <w:tcW w:w="4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color w:val="000000"/>
              </w:rPr>
            </w:pPr>
            <w:r>
              <w:rPr>
                <w:rFonts w:ascii="Tinos" w:hAnsi="Tinos"/>
                <w:color w:val="000000"/>
              </w:rPr>
              <w:t>ИП Чевдар О.П.</w:t>
            </w:r>
          </w:p>
          <w:p>
            <w:pPr>
              <w:pStyle w:val="Normal"/>
              <w:keepLines w:val="false"/>
              <w:widowControl w:val="false"/>
              <w:jc w:val="center"/>
              <w:rPr>
                <w:rFonts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 xml:space="preserve">ИНН </w:t>
            </w:r>
            <w:r>
              <w:rPr>
                <w:rFonts w:eastAsia="Calibri" w:ascii="Times New Roman" w:hAnsi="Times New Roman" w:eastAsiaTheme="minorHAnsi"/>
              </w:rPr>
              <w:t>666008670348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 xml:space="preserve">Адрес: </w:t>
            </w:r>
            <w:r>
              <w:rPr>
                <w:rFonts w:eastAsia="Calibri" w:ascii="Times New Roman" w:hAnsi="Times New Roman" w:eastAsiaTheme="minorHAnsi"/>
              </w:rPr>
              <w:t>620137 Свердловская обл.,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г. Екатеринбург, ул. Блюхера,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д.51, кв.131</w:t>
            </w:r>
          </w:p>
        </w:tc>
        <w:tc>
          <w:tcPr>
            <w:tcW w:w="28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26 115 932,00</w:t>
            </w:r>
            <w:r>
              <w:rPr>
                <w:rFonts w:ascii="Tinos" w:hAnsi="Tinos"/>
              </w:rPr>
              <w:t xml:space="preserve"> рублей,</w:t>
            </w:r>
          </w:p>
          <w:p>
            <w:pPr>
              <w:pStyle w:val="Normal"/>
              <w:keepLines w:val="false"/>
              <w:widowControl w:val="false"/>
              <w:jc w:val="center"/>
              <w:rPr/>
            </w:pPr>
            <w:r>
              <w:rPr>
                <w:rFonts w:ascii="Tinos" w:hAnsi="Tinos"/>
              </w:rPr>
              <w:t xml:space="preserve"> </w:t>
            </w:r>
            <w:r>
              <w:rPr>
                <w:rFonts w:ascii="Tinos" w:hAnsi="Tinos"/>
              </w:rPr>
              <w:t>без НДС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7. </w:t>
      </w:r>
      <w:r>
        <w:rPr>
          <w:rFonts w:ascii="Times New Roman" w:hAnsi="Times New Roman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>
        <w:rPr>
          <w:rFonts w:eastAsia="Calibri" w:ascii="Times New Roman" w:hAnsi="Times New Roman" w:eastAsiaTheme="minorHAnsi"/>
        </w:rPr>
        <w:t xml:space="preserve">ООО «УФАНИПИНЕФТЬ» </w:t>
      </w:r>
      <w:r>
        <w:rPr>
          <w:rFonts w:ascii="Times New Roman" w:hAnsi="Times New Roman"/>
        </w:rPr>
        <w:t xml:space="preserve">с наименьшим ценовым предложением: </w:t>
      </w:r>
      <w:r>
        <w:rPr>
          <w:rFonts w:ascii="Times New Roman" w:hAnsi="Times New Roman"/>
        </w:rPr>
        <w:t>23 496 321 (Двадцать три миллиона четыреста девяносто шесть тысяч триста двадцать один) рубль 99 копеек</w:t>
      </w:r>
      <w:r>
        <w:rPr>
          <w:rFonts w:ascii="Tinos" w:hAnsi="Tinos"/>
        </w:rPr>
        <w:t>, включая НДС 5</w:t>
      </w:r>
      <w:bookmarkStart w:id="0" w:name="_GoBack_Копия_1"/>
      <w:bookmarkEnd w:id="0"/>
      <w:r>
        <w:rPr>
          <w:rFonts w:ascii="Tinos" w:hAnsi="Tinos"/>
        </w:rPr>
        <w:t xml:space="preserve"> %</w:t>
      </w:r>
      <w:r>
        <w:rPr>
          <w:rFonts w:eastAsia="Calibri" w:ascii="Times New Roman" w:hAnsi="Times New Roman" w:eastAsiaTheme="minorHAnsi"/>
        </w:rPr>
        <w:t>.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Результаты голосования членов закупочной комиссии: </w:t>
        <w:br/>
        <w:t xml:space="preserve">«за» - 4 голоса 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«против» - 0 голосов;</w:t>
        <w:br/>
        <w:t xml:space="preserve">«воздержался» - 0 голосов. </w:t>
      </w:r>
    </w:p>
    <w:p>
      <w:pPr>
        <w:pStyle w:val="Normal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- 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- принимает на себя обязательства:</w:t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bCs/>
          <w:color w:val="000000"/>
          <w:lang w:eastAsia="ar-SA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4403"/>
        <w:gridCol w:w="5631"/>
      </w:tblGrid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Должность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Патрушев Е.Г.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Генеральный директор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Cs/>
              </w:rPr>
            </w:pPr>
            <w:r>
              <w:rPr>
                <w:rFonts w:eastAsia="Calibri" w:ascii="Times New Roman" w:hAnsi="Times New Roman"/>
                <w:bCs/>
              </w:rPr>
              <w:t>Барабанов В.О.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Cs/>
              </w:rPr>
            </w:pPr>
            <w:r>
              <w:rPr>
                <w:rFonts w:eastAsia="Calibri" w:ascii="Times New Roman" w:hAnsi="Times New Roman"/>
                <w:bCs/>
              </w:rPr>
              <w:t>Заместитель генерального директора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Круселёва Е.А.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993" w:leader="none"/>
              </w:tabs>
              <w:ind w:left="0" w:right="-1" w:hanging="0"/>
              <w:jc w:val="both"/>
              <w:rPr>
                <w:rFonts w:ascii="Times New Roman" w:hAnsi="Times New Roman"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Леухина Л.О.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993" w:leader="none"/>
              </w:tabs>
              <w:ind w:left="0" w:right="-1"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ООЗ и МТО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/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/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Макарятова М.Л.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993" w:leader="none"/>
              </w:tabs>
              <w:ind w:left="0" w:right="-1" w:hanging="0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Специалист ООЗ и МТО 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b/>
          <w:bCs/>
          <w:color w:val="000000"/>
          <w:lang w:eastAsia="ar-SA"/>
        </w:rPr>
      </w:pPr>
      <w:r>
        <w:rPr>
          <w:rFonts w:eastAsia="Calibri" w:ascii="Times New Roman" w:hAnsi="Times New Roman"/>
          <w:b/>
          <w:bCs/>
          <w:color w:val="000000"/>
          <w:lang w:eastAsia="ar-SA"/>
        </w:rPr>
      </w:r>
    </w:p>
    <w:sectPr>
      <w:footerReference w:type="default" r:id="rId4"/>
      <w:type w:val="nextPage"/>
      <w:pgSz w:w="11906" w:h="16838"/>
      <w:pgMar w:left="1134" w:right="737" w:gutter="0" w:header="0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Tinos">
    <w:charset w:val="01"/>
    <w:family w:val="roman"/>
    <w:pitch w:val="default"/>
  </w:font>
  <w:font w:name="Times New Roman CYR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numPr>
        <w:ilvl w:val="0"/>
        <w:numId w:val="0"/>
      </w:numPr>
      <w:ind w:left="0" w:hanging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947/15</w:t>
    </w:r>
    <w:r>
      <w:rPr>
        <w:rFonts w:ascii="Times New Roman" w:hAnsi="Times New Roman"/>
        <w:bCs/>
        <w:sz w:val="16"/>
        <w:szCs w:val="16"/>
      </w:rPr>
      <w:t>9</w:t>
    </w:r>
    <w:r>
      <w:rPr>
        <w:rFonts w:ascii="Times New Roman" w:hAnsi="Times New Roman"/>
        <w:bCs/>
        <w:sz w:val="16"/>
        <w:szCs w:val="16"/>
      </w:rPr>
      <w:t>-Пр</w:t>
    </w:r>
  </w:p>
  <w:p>
    <w:pPr>
      <w:pStyle w:val="Style22"/>
      <w:numPr>
        <w:ilvl w:val="0"/>
        <w:numId w:val="0"/>
      </w:numPr>
      <w:spacing w:before="0" w:after="0"/>
      <w:ind w:left="0" w:hanging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закупочной  комиссии по </w:t>
    </w:r>
    <w:r>
      <w:rPr>
        <w:rFonts w:ascii="Times New Roman" w:hAnsi="Times New Roman"/>
        <w:bCs/>
        <w:sz w:val="16"/>
        <w:szCs w:val="16"/>
      </w:rPr>
      <w:t>подведению итогов открытого</w:t>
    </w:r>
    <w:r>
      <w:rPr>
        <w:rFonts w:ascii="Times New Roman" w:hAnsi="Times New Roman"/>
        <w:bCs/>
        <w:sz w:val="16"/>
        <w:szCs w:val="16"/>
      </w:rPr>
      <w:t xml:space="preserve"> конкурс</w:t>
    </w:r>
    <w:r>
      <w:rPr>
        <w:rFonts w:ascii="Times New Roman" w:hAnsi="Times New Roman"/>
        <w:bCs/>
        <w:sz w:val="16"/>
        <w:szCs w:val="16"/>
      </w:rPr>
      <w:t>а</w:t>
    </w:r>
    <w:r>
      <w:rPr>
        <w:rFonts w:ascii="Times New Roman" w:hAnsi="Times New Roman"/>
        <w:bCs/>
        <w:sz w:val="16"/>
        <w:szCs w:val="16"/>
      </w:rPr>
      <w:t xml:space="preserve"> в электронной форме (МСП) на право заключения договора на выполнение проектно-изыскательских работ при строительстве административно-бытового здания «Дом атомщика»</w:t>
    </w:r>
  </w:p>
  <w:p>
    <w:pPr>
      <w:pStyle w:val="Style22"/>
      <w:numPr>
        <w:ilvl w:val="0"/>
        <w:numId w:val="0"/>
      </w:numPr>
      <w:spacing w:before="0" w:after="0"/>
      <w:ind w:left="0" w:hanging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eastAsia="" w:cs="Times New Roman" w:ascii="Times New Roman" w:hAnsi="Times New Roman" w:eastAsiaTheme="minorEastAsia"/>
        <w:b w:val="false"/>
        <w:bCs/>
        <w:i w:val="false"/>
        <w:iCs w:val="false"/>
        <w:color w:val="000000" w:themeShade="bf"/>
        <w:sz w:val="16"/>
        <w:szCs w:val="16"/>
        <w:shd w:fill="FFFFFF" w:val="clear"/>
        <w:lang w:eastAsia="ru-RU"/>
      </w:rPr>
      <w:t>ООО «Арктик Атом-Сервис»</w:t>
    </w:r>
  </w:p>
  <w:p>
    <w:pPr>
      <w:pStyle w:val="Style22"/>
      <w:numPr>
        <w:ilvl w:val="0"/>
        <w:numId w:val="0"/>
      </w:numPr>
      <w:spacing w:before="0" w:after="0"/>
      <w:ind w:left="0" w:hanging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</w:r>
  </w:p>
  <w:p>
    <w:pPr>
      <w:pStyle w:val="Style22"/>
      <w:numPr>
        <w:ilvl w:val="0"/>
        <w:numId w:val="0"/>
      </w:numPr>
      <w:spacing w:before="0" w:after="0"/>
      <w:ind w:left="0" w:hanging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sz w:val="16"/>
        <w:szCs w:val="16"/>
        <w:bCs/>
        <w:rFonts w:ascii="Times New Roman" w:hAnsi="Times New Roman"/>
      </w:rPr>
      <w:instrText xml:space="preserve"> PAGE </w:instrText>
    </w:r>
    <w:r>
      <w:rPr>
        <w:sz w:val="16"/>
        <w:szCs w:val="16"/>
        <w:bCs/>
        <w:rFonts w:ascii="Times New Roman" w:hAnsi="Times New Roman"/>
      </w:rPr>
      <w:fldChar w:fldCharType="separate"/>
    </w:r>
    <w:r>
      <w:rPr>
        <w:sz w:val="16"/>
        <w:szCs w:val="16"/>
        <w:bCs/>
        <w:rFonts w:ascii="Times New Roman" w:hAnsi="Times New Roman"/>
      </w:rPr>
      <w:t>6</w:t>
    </w:r>
    <w:r>
      <w:rPr>
        <w:sz w:val="16"/>
        <w:szCs w:val="16"/>
        <w:bCs/>
        <w:rFonts w:ascii="Times New Roman" w:hAnsi="Times New Roman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sz w:val="16"/>
        <w:szCs w:val="16"/>
        <w:bCs/>
        <w:rFonts w:ascii="Times New Roman" w:hAnsi="Times New Roman"/>
      </w:rPr>
      <w:instrText xml:space="preserve"> NUMPAGES </w:instrText>
    </w:r>
    <w:r>
      <w:rPr>
        <w:sz w:val="16"/>
        <w:szCs w:val="16"/>
        <w:bCs/>
        <w:rFonts w:ascii="Times New Roman" w:hAnsi="Times New Roman"/>
      </w:rPr>
      <w:fldChar w:fldCharType="separate"/>
    </w:r>
    <w:r>
      <w:rPr>
        <w:sz w:val="16"/>
        <w:szCs w:val="16"/>
        <w:bCs/>
        <w:rFonts w:ascii="Times New Roman" w:hAnsi="Times New Roman"/>
      </w:rPr>
      <w:t>6</w:t>
    </w:r>
    <w:r>
      <w:rPr>
        <w:sz w:val="16"/>
        <w:szCs w:val="16"/>
        <w:bCs/>
        <w:rFonts w:ascii="Times New Roman" w:hAnsi="Times New Roman"/>
      </w:rPr>
      <w:fldChar w:fldCharType="end"/>
    </w:r>
  </w:p>
  <w:p>
    <w:pPr>
      <w:pStyle w:val="Style29"/>
      <w:rPr>
        <w:bCs/>
      </w:rPr>
    </w:pPr>
    <w:r>
      <w:rPr>
        <w:bCs/>
      </w:rPr>
    </w:r>
  </w:p>
</w:ftr>
</file>

<file path=word/settings.xml><?xml version="1.0" encoding="utf-8"?>
<w:settings xmlns:w="http://schemas.openxmlformats.org/wordprocessingml/2006/main">
  <w:zoom w:percent="13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uiPriority w:val="99"/>
    <w:semiHidden/>
    <w:unhideWhenUsed/>
    <w:rPr>
      <w:color w:val="800080"/>
      <w:u w:val="single"/>
    </w:rPr>
  </w:style>
  <w:style w:type="character" w:styleId="Style15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0" w:customStyle="1">
    <w:name w:val="Абзац списка Знак"/>
    <w:link w:val="ListParagraph"/>
    <w:uiPriority w:val="34"/>
    <w:qFormat/>
    <w:locked/>
    <w:rsid w:val="008e4fb3"/>
    <w:rPr>
      <w:sz w:val="22"/>
      <w:szCs w:val="22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2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3">
    <w:name w:val="List"/>
    <w:basedOn w:val="Style22"/>
    <w:pPr/>
    <w:rPr>
      <w:rFonts w:ascii="PT Astra Serif" w:hAnsi="PT Astra Serif" w:cs="Noto Sans Devanagari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6">
    <w:name w:val="Title"/>
    <w:basedOn w:val="Normal"/>
    <w:next w:val="Style22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Msonormal" w:customStyle="1">
    <w:name w:val="msonormal"/>
    <w:basedOn w:val="Normal"/>
    <w:semiHidden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NormalWeb">
    <w:name w:val="Normal (Web)"/>
    <w:basedOn w:val="Normal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7" w:customStyle="1">
    <w:name w:val="Колонтитул"/>
    <w:basedOn w:val="Normal"/>
    <w:qFormat/>
    <w:pPr/>
    <w:rPr/>
  </w:style>
  <w:style w:type="paragraph" w:styleId="Style28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0"/>
    <w:uiPriority w:val="34"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0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31" w:customStyle="1">
    <w:name w:val="Заголовок таблицы"/>
    <w:basedOn w:val="Style30"/>
    <w:qFormat/>
    <w:pPr>
      <w:jc w:val="center"/>
    </w:pPr>
    <w:rPr>
      <w:b/>
      <w:bCs/>
    </w:rPr>
  </w:style>
  <w:style w:type="paragraph" w:styleId="Standard" w:customStyle="1">
    <w:name w:val="Standard"/>
    <w:qFormat/>
    <w:rsid w:val="004b58f8"/>
    <w:pPr>
      <w:widowControl w:val="false"/>
      <w:suppressAutoHyphens w:val="true"/>
      <w:bidi w:val="0"/>
      <w:spacing w:before="0" w:after="0"/>
      <w:jc w:val="center"/>
    </w:pPr>
    <w:rPr>
      <w:rFonts w:ascii="PT Astra Serif" w:hAnsi="PT Astra Serif" w:eastAsia="PT Astra Serif" w:cs="PT Astra Serif"/>
      <w:color w:val="auto"/>
      <w:kern w:val="2"/>
      <w:sz w:val="28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a">
    <w:name w:val="Table Grid"/>
    <w:basedOn w:val="a1"/>
    <w:rsid w:val="00bf3d31"/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">
    <w:name w:val="Сетка таблицы1"/>
    <w:basedOn w:val="a1"/>
    <w:rsid w:val="00020e5b"/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AE83B-5743-47E3-8F69-C2EF08C64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Application>LibreOffice/7.5.6.2$Linux_X86_64 LibreOffice_project/50$Build-2</Application>
  <AppVersion>15.0000</AppVersion>
  <Pages>6</Pages>
  <Words>1664</Words>
  <Characters>11736</Characters>
  <CharactersWithSpaces>13258</CharactersWithSpaces>
  <Paragraphs>186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2026-04-27T19:11:00Z</dcterms:created>
  <dc:creator>ss</dc:creator>
  <dc:description/>
  <dc:language>ru-RU</dc:language>
  <cp:lastModifiedBy/>
  <cp:lastPrinted>2026-06-02T10:28:18Z</cp:lastPrinted>
  <dcterms:modified xsi:type="dcterms:W3CDTF">2026-06-02T10:52:24Z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