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keepLines/>
        <w:widowControl w:val="false"/>
        <w:numPr>
          <w:ilvl w:val="0"/>
          <w:numId w:val="0"/>
        </w:numPr>
        <w:tabs>
          <w:tab w:val="clear" w:pos="708"/>
          <w:tab w:val="center" w:pos="5017" w:leader="none"/>
        </w:tabs>
        <w:spacing w:lineRule="auto" w:line="240" w:before="0" w:after="0"/>
        <w:ind w:left="0" w:hanging="0"/>
        <w:jc w:val="center"/>
        <w:outlineLvl w:val="0"/>
        <w:rPr>
          <w:rFonts w:ascii="Times New Roman" w:hAnsi="Times New Roman" w:eastAsia="Times New Roman" w:cs="Times New Roman"/>
          <w:b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ПРОТОКОЛ № 32211442635-1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left="0" w:hanging="0"/>
        <w:contextualSpacing/>
        <w:jc w:val="center"/>
        <w:outlineLvl w:val="0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заседания закупочной комиссии по рассмотрению заявок на отборочной стадии</w:t>
      </w: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 xml:space="preserve"> и подведения итогов в открытом запросе котировок среди субъектов МСП на право заключения договора на «Поставку высокотемпературного насоса высокого давления ГХМ»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left="0" w:hanging="0"/>
        <w:jc w:val="center"/>
        <w:outlineLvl w:val="0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widowControl w:val="false"/>
        <w:tabs>
          <w:tab w:val="clear" w:pos="708"/>
          <w:tab w:val="left" w:pos="252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b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г. Кашира М.О.</w:t>
        <w:tab/>
        <w:tab/>
        <w:tab/>
        <w:tab/>
        <w:tab/>
        <w:tab/>
        <w:tab/>
        <w:t xml:space="preserve">                        «</w:t>
      </w:r>
      <w:r>
        <w:rPr>
          <w:rFonts w:eastAsia="Times New Roman" w:cs="Times New Roman" w:ascii="Times New Roman" w:hAnsi="Times New Roman"/>
          <w:bCs/>
          <w:sz w:val="24"/>
          <w:szCs w:val="24"/>
          <w:lang w:val="en-US" w:eastAsia="ru-RU"/>
        </w:rPr>
        <w:t>14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» июн</w:t>
      </w:r>
      <w:r>
        <w:rPr>
          <w:rFonts w:eastAsia="Times New Roman" w:cs="Times New Roman" w:ascii="Times New Roman" w:hAnsi="Times New Roman"/>
          <w:bCs/>
          <w:sz w:val="24"/>
          <w:szCs w:val="24"/>
          <w:lang w:val="en-US" w:eastAsia="ru-RU"/>
        </w:rPr>
        <w:t xml:space="preserve">я 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2022г.</w:t>
      </w:r>
    </w:p>
    <w:p>
      <w:pPr>
        <w:pStyle w:val="Normal"/>
        <w:keepLines/>
        <w:widowControl w:val="false"/>
        <w:numPr>
          <w:ilvl w:val="0"/>
          <w:numId w:val="0"/>
        </w:numPr>
        <w:spacing w:lineRule="auto" w:line="240" w:before="0" w:after="0"/>
        <w:ind w:left="0" w:hanging="0"/>
        <w:jc w:val="center"/>
        <w:outlineLvl w:val="0"/>
        <w:rPr>
          <w:rFonts w:ascii="Times New Roman" w:hAnsi="Times New Roman" w:eastAsia="Times New Roman" w:cs="Times New Roman"/>
          <w:b/>
          <w:b/>
          <w:bCs/>
          <w:sz w:val="28"/>
          <w:szCs w:val="24"/>
          <w:lang w:val="x-none"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4"/>
          <w:lang w:val="x-none" w:eastAsia="ru-RU"/>
        </w:rPr>
      </w:r>
      <w:bookmarkStart w:id="0" w:name="_GoBack"/>
      <w:bookmarkStart w:id="1" w:name="_GoBack"/>
      <w:bookmarkEnd w:id="1"/>
    </w:p>
    <w:p>
      <w:pPr>
        <w:pStyle w:val="Normal"/>
        <w:widowControl w:val="false"/>
        <w:tabs>
          <w:tab w:val="clear" w:pos="708"/>
          <w:tab w:val="left" w:pos="0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Открытый запрос котировок в электронной форме, участниками которого являются только субъекты МСП,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 использованием функционала ЭТП «Фабрикант» в сети «Интернет» по адресу: </w:t>
      </w:r>
      <w:r>
        <w:rPr>
          <w:rStyle w:val="Style15"/>
          <w:rFonts w:eastAsia="Times New Roman" w:cs="Times New Roman" w:ascii="Times New Roman" w:hAnsi="Times New Roman"/>
          <w:sz w:val="24"/>
          <w:szCs w:val="24"/>
          <w:lang w:eastAsia="ru-RU"/>
        </w:rPr>
        <w:t>https://www.etp-ets.ru/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согласно регламенту ее работы.</w:t>
      </w:r>
    </w:p>
    <w:p>
      <w:pPr>
        <w:pStyle w:val="Normal"/>
        <w:widowControl w:val="false"/>
        <w:tabs>
          <w:tab w:val="clear" w:pos="708"/>
          <w:tab w:val="left" w:pos="0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widowControl w:val="false"/>
        <w:numPr>
          <w:ilvl w:val="0"/>
          <w:numId w:val="0"/>
        </w:numPr>
        <w:tabs>
          <w:tab w:val="clear" w:pos="708"/>
          <w:tab w:val="left" w:pos="252" w:leader="none"/>
        </w:tabs>
        <w:spacing w:lineRule="auto" w:line="240" w:before="0" w:after="0"/>
        <w:ind w:left="0" w:firstLine="567"/>
        <w:jc w:val="both"/>
        <w:outlineLvl w:val="0"/>
        <w:rPr>
          <w:rFonts w:ascii="Times New Roman" w:hAnsi="Times New Roman" w:eastAsia="Times New Roman" w:cs="Times New Roman"/>
          <w:b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Информация о закупке: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252" w:leader="none"/>
        </w:tabs>
        <w:ind w:left="0" w:firstLine="567"/>
        <w:outlineLvl w:val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Номер годовой программы закупок: 19878/29.</w:t>
      </w:r>
    </w:p>
    <w:p>
      <w:pPr>
        <w:pStyle w:val="Normal"/>
        <w:spacing w:lineRule="auto" w:line="240" w:before="0" w:after="0"/>
        <w:ind w:firstLine="567"/>
        <w:contextualSpacing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Заказчик: Акционерное общество "Научно-испытательный центр оборудования атомных электростанций " (АО "НИЦ АЭС").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left="0" w:hanging="0"/>
        <w:jc w:val="both"/>
        <w:outlineLvl w:val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left="0" w:firstLine="567"/>
        <w:jc w:val="both"/>
        <w:outlineLvl w:val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Организатор запроса котировок: Акционерное общество "Научно-испытательный центр оборудования атомных электростанций " (АО "НИЦ АЭС").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left="0" w:hanging="0"/>
        <w:jc w:val="both"/>
        <w:outlineLvl w:val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left="0" w:firstLine="567"/>
        <w:jc w:val="both"/>
        <w:outlineLvl w:val="0"/>
        <w:rPr>
          <w:rFonts w:ascii="Times New Roman" w:hAnsi="Times New Roman" w:cs="Times New Roman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Наименование запроса: открытый запрос котировок в электронной форме на право заключения договора на тему: «П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 xml:space="preserve">оставка </w:t>
      </w: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  <w:lang w:eastAsia="ru-RU"/>
        </w:rPr>
        <w:t>высокотемпературного насоса высокого давления ГХМ»</w:t>
      </w:r>
      <w:r>
        <w:rPr>
          <w:rFonts w:eastAsia="Times New Roman" w:cs="Times New Roman" w:ascii="Times New Roman" w:hAnsi="Times New Roman"/>
          <w:b w:val="false"/>
          <w:bCs w:val="false"/>
          <w:lang w:eastAsia="ru-RU"/>
        </w:rPr>
        <w:t>.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left="0" w:firstLine="567"/>
        <w:jc w:val="both"/>
        <w:outlineLvl w:val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left="0" w:firstLine="567"/>
        <w:jc w:val="both"/>
        <w:outlineLvl w:val="0"/>
        <w:rPr>
          <w:rFonts w:ascii="Times New Roman" w:hAnsi="Times New Roman" w:eastAsia="Times New Roman" w:cs="Times New Roman"/>
          <w:lang w:eastAsia="ru-RU"/>
        </w:rPr>
      </w:pPr>
      <w:r>
        <w:rPr>
          <w:rFonts w:eastAsia="Calibri" w:cs="Times New Roman" w:ascii="Times New Roman" w:hAnsi="Times New Roman"/>
          <w:sz w:val="24"/>
          <w:szCs w:val="24"/>
        </w:rPr>
        <w:t xml:space="preserve">Предмет </w:t>
      </w:r>
      <w:r>
        <w:rPr>
          <w:rFonts w:eastAsia="Calibri" w:cs="Times New Roman" w:ascii="Times New Roman" w:hAnsi="Times New Roman"/>
          <w:color w:val="000000"/>
          <w:sz w:val="24"/>
          <w:szCs w:val="24"/>
          <w:lang w:eastAsia="ar-SA"/>
        </w:rPr>
        <w:t>договора</w:t>
      </w:r>
      <w:r>
        <w:rPr>
          <w:rFonts w:eastAsia="Calibri" w:cs="Times New Roman" w:ascii="Times New Roman" w:hAnsi="Times New Roman"/>
          <w:sz w:val="24"/>
          <w:szCs w:val="24"/>
        </w:rPr>
        <w:t xml:space="preserve">: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«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 xml:space="preserve">Поставка </w:t>
      </w: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  <w:lang w:eastAsia="ru-RU"/>
        </w:rPr>
        <w:t>высокотемпературного насоса высокого давления ГХМ».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left="0" w:firstLine="567"/>
        <w:jc w:val="both"/>
        <w:outlineLvl w:val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Срок поставки товара: в соответствии с Частью 3 «проект договора» закупочной документации.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left="0" w:firstLine="567"/>
        <w:jc w:val="both"/>
        <w:outlineLvl w:val="0"/>
        <w:rPr>
          <w:rFonts w:ascii="Times New Roman" w:hAnsi="Times New Roman" w:cs="Times New Roman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Состав и объём работ/услуг: в соответствии с Техническим заданием (Часть 3 «проект договора» закупочной документации)</w:t>
      </w:r>
      <w:r>
        <w:rPr>
          <w:rFonts w:eastAsia="Times New Roman" w:cs="Times New Roman" w:ascii="Times New Roman" w:hAnsi="Times New Roman"/>
          <w:lang w:eastAsia="ru-RU"/>
        </w:rPr>
        <w:t>.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left="0" w:firstLine="567"/>
        <w:jc w:val="both"/>
        <w:outlineLvl w:val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left="0" w:firstLine="567"/>
        <w:jc w:val="both"/>
        <w:outlineLvl w:val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Начальная (максимальная) цена договора: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0" w:leader="none"/>
          <w:tab w:val="left" w:pos="851" w:leader="none"/>
        </w:tabs>
        <w:spacing w:lineRule="auto" w:line="240" w:before="0" w:after="0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>Начальная (максимальная) цена договора: 1 558 599 (Один миллион пятьсот пятьдесят восемь тысяч пятьсот девяносто девять) руб.10 коп., в том числе НДС 20%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Извещение о проведении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 xml:space="preserve">запроса котировок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и документация по запросу котировок опубликованы «03» июня 2022 года на официальном сайте по закупкам атомной отрасли </w:t>
      </w:r>
      <w:hyperlink r:id="rId2">
        <w:r>
          <w:rPr>
            <w:rFonts w:eastAsia="Times New Roman" w:cs="Times New Roman" w:ascii="Times New Roman" w:hAnsi="Times New Roman"/>
            <w:color w:val="0000FF"/>
            <w:sz w:val="24"/>
            <w:szCs w:val="24"/>
            <w:u w:val="single"/>
            <w:lang w:eastAsia="ru-RU"/>
          </w:rPr>
          <w:t>http://www.zakupki.gov.ru</w:t>
        </w:r>
      </w:hyperlink>
      <w:r>
        <w:rPr>
          <w:rFonts w:eastAsia="Times New Roman" w:cs="Times New Roman" w:ascii="Times New Roman" w:hAnsi="Times New Roman"/>
          <w:color w:val="0000FF"/>
          <w:sz w:val="24"/>
          <w:szCs w:val="24"/>
          <w:u w:val="single"/>
          <w:lang w:eastAsia="ru-RU"/>
        </w:rPr>
        <w:t>/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,</w:t>
      </w:r>
      <w:r>
        <w:rPr>
          <w:rFonts w:eastAsia="Calibri" w:cs="Times New Roman" w:ascii="Times New Roman" w:hAnsi="Times New Roman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закупка №</w:t>
      </w:r>
      <w:r>
        <w:rPr/>
        <w:t xml:space="preserve"> </w:t>
      </w:r>
      <w:r>
        <w:rPr>
          <w:rFonts w:cs="Times New Roman" w:ascii="Times New Roman" w:hAnsi="Times New Roman"/>
          <w:sz w:val="24"/>
          <w:szCs w:val="24"/>
        </w:rPr>
        <w:t>32211442635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, на официальном сайте о размещении заказов на закупки товаров, работ и услуг для нужд Госкорпорации «Росатом» </w:t>
      </w:r>
      <w:hyperlink r:id="rId3">
        <w:r>
          <w:rPr>
            <w:rFonts w:eastAsia="Times New Roman" w:cs="Times New Roman" w:ascii="Times New Roman" w:hAnsi="Times New Roman"/>
            <w:color w:val="0000FF"/>
            <w:sz w:val="24"/>
            <w:szCs w:val="24"/>
            <w:u w:val="single"/>
            <w:lang w:eastAsia="ru-RU"/>
          </w:rPr>
          <w:t>http://zakupki.rosatom.ru/</w:t>
        </w:r>
      </w:hyperlink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, закупка № 220603/0512/018,</w:t>
      </w:r>
      <w:r>
        <w:rPr>
          <w:rFonts w:eastAsia="Times New Roman" w:cs="Times New Roman" w:ascii="Times New Roman" w:hAnsi="Times New Roman"/>
          <w:color w:val="FF0000"/>
          <w:sz w:val="24"/>
          <w:szCs w:val="24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на ЭТП </w:t>
      </w:r>
      <w:r>
        <w:rPr>
          <w:rStyle w:val="Style15"/>
          <w:rFonts w:eastAsia="Times New Roman" w:cs="Times New Roman" w:ascii="Times New Roman" w:hAnsi="Times New Roman"/>
          <w:sz w:val="24"/>
          <w:szCs w:val="24"/>
          <w:lang w:eastAsia="ru-RU"/>
        </w:rPr>
        <w:t>https://www.etp-ets.ru/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, закупка № 32211442635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31"/>
        <w:ind w:firstLine="567"/>
        <w:rPr>
          <w:b w:val="false"/>
          <w:b w:val="false"/>
          <w:bCs w:val="false"/>
          <w:color w:val="000000"/>
          <w:sz w:val="24"/>
          <w:szCs w:val="24"/>
        </w:rPr>
      </w:pPr>
      <w:r>
        <w:rPr>
          <w:b w:val="false"/>
          <w:bCs w:val="false"/>
          <w:sz w:val="24"/>
          <w:szCs w:val="24"/>
        </w:rPr>
        <w:t>Заседание закупочной комиссии проводится в 12:00:00 (время московское) «1</w:t>
      </w:r>
      <w:r>
        <w:rPr>
          <w:rFonts w:eastAsia="Times New Roman" w:cs="Times New Roman"/>
          <w:b w:val="false"/>
          <w:bCs w:val="false"/>
          <w:sz w:val="24"/>
          <w:szCs w:val="24"/>
          <w:lang w:eastAsia="ar-SA"/>
        </w:rPr>
        <w:t>4</w:t>
      </w:r>
      <w:r>
        <w:rPr>
          <w:b w:val="false"/>
          <w:bCs w:val="false"/>
          <w:sz w:val="24"/>
          <w:szCs w:val="24"/>
        </w:rPr>
        <w:t xml:space="preserve">» июня 2022 года, по адресу: </w:t>
      </w:r>
      <w:r>
        <w:rPr>
          <w:b w:val="false"/>
          <w:bCs w:val="false"/>
          <w:color w:val="000000"/>
          <w:sz w:val="24"/>
          <w:szCs w:val="24"/>
        </w:rPr>
        <w:t>142900, РФ, Московская область, г. Кашира, ул. Советский проспект, д.2А.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left="0" w:hanging="0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В заседании принимают участие:</w:t>
      </w:r>
      <w:r>
        <w:rPr>
          <w:rFonts w:ascii="Times New Roman" w:hAnsi="Times New Roman"/>
          <w:sz w:val="24"/>
          <w:szCs w:val="24"/>
        </w:rPr>
        <w:t xml:space="preserve"> 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firstRow="1" w:noVBand="1" w:lastRow="0" w:firstColumn="1" w:lastColumn="0" w:noHBand="0" w:val="04a0"/>
      </w:tblPr>
      <w:tblGrid>
        <w:gridCol w:w="2817"/>
        <w:gridCol w:w="5530"/>
        <w:gridCol w:w="1434"/>
      </w:tblGrid>
      <w:tr>
        <w:trPr/>
        <w:tc>
          <w:tcPr>
            <w:tcW w:w="28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55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14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Форма участия</w:t>
            </w:r>
          </w:p>
        </w:tc>
      </w:tr>
      <w:tr>
        <w:trPr/>
        <w:tc>
          <w:tcPr>
            <w:tcW w:w="9781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b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Председатель аукционной комиссии:</w:t>
            </w:r>
          </w:p>
        </w:tc>
      </w:tr>
      <w:tr>
        <w:trPr>
          <w:trHeight w:val="606" w:hRule="atLeast"/>
        </w:trPr>
        <w:tc>
          <w:tcPr>
            <w:tcW w:w="28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Шорстов Денис Анатольевич</w:t>
            </w:r>
          </w:p>
        </w:tc>
        <w:tc>
          <w:tcPr>
            <w:tcW w:w="55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</w:tc>
        <w:tc>
          <w:tcPr>
            <w:tcW w:w="14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Очно</w:t>
            </w:r>
          </w:p>
        </w:tc>
      </w:tr>
      <w:tr>
        <w:trPr/>
        <w:tc>
          <w:tcPr>
            <w:tcW w:w="9781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b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Члены аукционной комиссии:</w:t>
            </w:r>
          </w:p>
        </w:tc>
      </w:tr>
      <w:tr>
        <w:trPr/>
        <w:tc>
          <w:tcPr>
            <w:tcW w:w="28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Сотников Юрий Петрович</w:t>
            </w:r>
          </w:p>
        </w:tc>
        <w:tc>
          <w:tcPr>
            <w:tcW w:w="55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Главный инженер</w:t>
            </w:r>
          </w:p>
        </w:tc>
        <w:tc>
          <w:tcPr>
            <w:tcW w:w="14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Очно</w:t>
            </w:r>
          </w:p>
        </w:tc>
      </w:tr>
      <w:tr>
        <w:trPr/>
        <w:tc>
          <w:tcPr>
            <w:tcW w:w="28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Мигулин Сергей Александрович</w:t>
            </w:r>
          </w:p>
        </w:tc>
        <w:tc>
          <w:tcPr>
            <w:tcW w:w="55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отдела технических оценок и экспертиз</w:t>
            </w:r>
          </w:p>
        </w:tc>
        <w:tc>
          <w:tcPr>
            <w:tcW w:w="14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Очно</w:t>
            </w:r>
          </w:p>
        </w:tc>
      </w:tr>
      <w:tr>
        <w:trPr/>
        <w:tc>
          <w:tcPr>
            <w:tcW w:w="28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Киселёва Ольга Ивановна</w:t>
            </w:r>
          </w:p>
        </w:tc>
        <w:tc>
          <w:tcPr>
            <w:tcW w:w="55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Главный бухгалтер</w:t>
            </w:r>
          </w:p>
        </w:tc>
        <w:tc>
          <w:tcPr>
            <w:tcW w:w="14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Очно</w:t>
            </w:r>
          </w:p>
        </w:tc>
      </w:tr>
      <w:tr>
        <w:trPr/>
        <w:tc>
          <w:tcPr>
            <w:tcW w:w="9781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b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Секретарь аукционной комиссии (без права голоса)</w:t>
            </w:r>
          </w:p>
        </w:tc>
      </w:tr>
      <w:tr>
        <w:trPr/>
        <w:tc>
          <w:tcPr>
            <w:tcW w:w="28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Ефремов Александр Георгиевич</w:t>
            </w:r>
          </w:p>
        </w:tc>
        <w:tc>
          <w:tcPr>
            <w:tcW w:w="55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Отдела материально-технического снабжения и закупок</w:t>
            </w:r>
          </w:p>
        </w:tc>
        <w:tc>
          <w:tcPr>
            <w:tcW w:w="14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Очно</w:t>
            </w:r>
          </w:p>
        </w:tc>
      </w:tr>
    </w:tbl>
    <w:p>
      <w:pPr>
        <w:pStyle w:val="31"/>
        <w:ind w:firstLine="567"/>
        <w:rPr>
          <w:b w:val="false"/>
          <w:b w:val="false"/>
          <w:bCs w:val="false"/>
          <w:color w:val="000000"/>
          <w:sz w:val="24"/>
          <w:szCs w:val="24"/>
        </w:rPr>
      </w:pPr>
      <w:r>
        <w:rPr>
          <w:b w:val="false"/>
          <w:bCs w:val="false"/>
          <w:color w:val="000000"/>
          <w:sz w:val="24"/>
          <w:szCs w:val="24"/>
        </w:rPr>
      </w:r>
    </w:p>
    <w:p>
      <w:pPr>
        <w:pStyle w:val="Normal"/>
        <w:spacing w:lineRule="auto" w:line="240" w:before="0" w:after="200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Заседание проводится в присутствии 4 из 4 членов закупочной комиссии. </w:t>
      </w:r>
    </w:p>
    <w:p>
      <w:pPr>
        <w:pStyle w:val="Normal"/>
        <w:spacing w:lineRule="auto" w:line="240" w:before="0" w:after="200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Кворум имеется.</w:t>
      </w:r>
    </w:p>
    <w:p>
      <w:pPr>
        <w:pStyle w:val="Normal"/>
        <w:spacing w:lineRule="auto" w:line="240" w:before="0" w:after="200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200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</w:t>
      </w:r>
      <w:r>
        <w:rPr/>
        <w:t xml:space="preserve"> </w:t>
      </w:r>
      <w:r>
        <w:rPr>
          <w:rFonts w:ascii="Times New Roman" w:hAnsi="Times New Roman"/>
          <w:sz w:val="24"/>
          <w:szCs w:val="24"/>
        </w:rPr>
        <w:t>При подаче заявок на участие в открытом запросе котировок, участниками которого являются только субъекты МСП, посредством программных и технических средств ЭТП система электронных торгов</w:t>
      </w:r>
      <w:r>
        <w:rPr>
          <w:rStyle w:val="Style15"/>
          <w:rFonts w:eastAsia="Times New Roman" w:cs="Times New Roman" w:ascii="Times New Roman" w:hAnsi="Times New Roman"/>
          <w:sz w:val="24"/>
          <w:szCs w:val="24"/>
          <w:lang w:eastAsia="ru-RU"/>
        </w:rPr>
        <w:t xml:space="preserve"> </w:t>
      </w:r>
      <w:hyperlink r:id="rId4">
        <w:r>
          <w:rPr>
            <w:rFonts w:eastAsia="Times New Roman" w:cs="Times New Roman" w:ascii="Times New Roman" w:hAnsi="Times New Roman"/>
            <w:sz w:val="24"/>
            <w:szCs w:val="24"/>
            <w:lang w:eastAsia="ru-RU"/>
          </w:rPr>
          <w:t xml:space="preserve"> </w:t>
        </w:r>
      </w:hyperlink>
      <w:r>
        <w:rPr>
          <w:rFonts w:ascii="Times New Roman" w:hAnsi="Times New Roman"/>
          <w:sz w:val="24"/>
          <w:szCs w:val="24"/>
        </w:rPr>
        <w:t xml:space="preserve">в рамках данного открытого запроса котировок участнику присвоен следующий уникальный идентификационный номер: </w:t>
      </w:r>
    </w:p>
    <w:p>
      <w:pPr>
        <w:pStyle w:val="Normal"/>
        <w:spacing w:lineRule="auto" w:line="240" w:before="0" w:after="200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– </w:t>
      </w:r>
      <w:r>
        <w:rPr>
          <w:rFonts w:cs="Times New Roman" w:ascii="Times New Roman" w:hAnsi="Times New Roman"/>
          <w:sz w:val="24"/>
          <w:szCs w:val="24"/>
        </w:rPr>
        <w:t>32211442635</w:t>
      </w:r>
      <w:r>
        <w:rPr>
          <w:rFonts w:cs="Times New Roman" w:ascii="Times New Roman" w:hAnsi="Times New Roman"/>
          <w:color w:val="000000"/>
          <w:sz w:val="24"/>
          <w:szCs w:val="24"/>
          <w:shd w:fill="FFFFFF" w:val="clear"/>
        </w:rPr>
        <w:t>-1</w:t>
      </w:r>
      <w:r>
        <w:rPr>
          <w:rFonts w:cs="Times New Roman" w:ascii="Times New Roman" w:hAnsi="Times New Roman"/>
          <w:sz w:val="24"/>
          <w:szCs w:val="24"/>
        </w:rPr>
        <w:t xml:space="preserve"> (присвоенный ЭТП идентификационный номер заявки участника</w:t>
      </w:r>
      <w:r>
        <w:rPr>
          <w:rFonts w:ascii="Times New Roman" w:hAnsi="Times New Roman"/>
          <w:sz w:val="24"/>
          <w:szCs w:val="24"/>
        </w:rPr>
        <w:t>).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left="0" w:firstLine="567"/>
        <w:jc w:val="both"/>
        <w:outlineLvl w:val="0"/>
        <w:rPr>
          <w:rFonts w:ascii="Times New Roman" w:hAnsi="Times New Roman" w:cs="Times New Roman"/>
          <w:spacing w:val="-6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ar-SA"/>
        </w:rPr>
        <w:t xml:space="preserve">1.1. На момент окончания срока подачи заявок на участие в открытом запросе котировок на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10-00 (время московское) </w:t>
      </w:r>
      <w:r>
        <w:rPr>
          <w:rFonts w:eastAsia="Times New Roman" w:cs="Times New Roman" w:ascii="Times New Roman" w:hAnsi="Times New Roman"/>
          <w:sz w:val="24"/>
          <w:szCs w:val="24"/>
          <w:lang w:eastAsia="ar-SA"/>
        </w:rPr>
        <w:t>«10» июня 2022 года на ЭТП</w:t>
      </w:r>
      <w:r>
        <w:rPr>
          <w:rFonts w:eastAsia="Times New Roman" w:cs="Times New Roman" w:ascii="Times New Roman" w:hAnsi="Times New Roman"/>
          <w:color w:val="0033CC"/>
          <w:sz w:val="24"/>
          <w:szCs w:val="24"/>
          <w:lang w:eastAsia="ru-RU"/>
        </w:rPr>
        <w:t xml:space="preserve"> </w:t>
      </w:r>
      <w:r>
        <w:rPr>
          <w:rStyle w:val="Style15"/>
          <w:rFonts w:eastAsia="Times New Roman" w:cs="Times New Roman" w:ascii="Times New Roman" w:hAnsi="Times New Roman"/>
          <w:sz w:val="24"/>
          <w:szCs w:val="24"/>
          <w:lang w:eastAsia="ru-RU"/>
        </w:rPr>
        <w:t xml:space="preserve">https://www.etp-ets.ru/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всего подано: по лоту «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 xml:space="preserve">Поставка </w:t>
      </w: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  <w:lang w:eastAsia="ru-RU"/>
        </w:rPr>
        <w:t>высокотемпературного насоса высокого давления ГХМ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» </w:t>
      </w:r>
      <w:r>
        <w:rPr>
          <w:rFonts w:cs="Times New Roman" w:ascii="Times New Roman" w:hAnsi="Times New Roman"/>
          <w:spacing w:val="-6"/>
          <w:sz w:val="24"/>
          <w:szCs w:val="24"/>
        </w:rPr>
        <w:t>1 заявка на участие в открытом запросе котировок.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left="0" w:firstLine="567"/>
        <w:jc w:val="both"/>
        <w:outlineLvl w:val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keepNext w:val="true"/>
        <w:widowControl w:val="false"/>
        <w:spacing w:lineRule="auto" w:line="240" w:before="0" w:after="120"/>
        <w:ind w:firstLine="567"/>
        <w:jc w:val="both"/>
        <w:rPr>
          <w:rFonts w:ascii="Times New Roman" w:hAnsi="Times New Roman" w:eastAsia="Times New Roman" w:cs="Times New Roman"/>
          <w:b/>
          <w:b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  <w:t xml:space="preserve">2. Результаты открытия доступа к заявкам на участие в запросе котировок: </w:t>
      </w:r>
    </w:p>
    <w:p>
      <w:pPr>
        <w:pStyle w:val="Normal"/>
        <w:keepNext w:val="true"/>
        <w:widowControl w:val="false"/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>В связи с тем, что после окончания срока подачи заявок на участие в процедуре закупки была подана одна заявка, в соответствии с подпунктом а) пункта 1.1 части 1 статьи 6.4 ЕОСЗ, Запрос котировок в электронной форме среди субъектов МСП на право заключения договора по теме: «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 xml:space="preserve">Поставка </w:t>
      </w: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  <w:lang w:eastAsia="ru-RU"/>
        </w:rPr>
        <w:t>высокотемпературного насоса высокого давления ГХМ</w:t>
      </w:r>
      <w:r>
        <w:rPr>
          <w:rFonts w:ascii="Times New Roman" w:hAnsi="Times New Roman"/>
          <w:sz w:val="24"/>
          <w:szCs w:val="24"/>
        </w:rPr>
        <w:t>» признан несостоявшимся.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Сведения об участниках запроса котировок, подавших заявки на участие в открытом запросе котировок, участниками которого являются только субъекты МСП, на «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 xml:space="preserve">Поставку </w:t>
      </w: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  <w:lang w:eastAsia="ru-RU"/>
        </w:rPr>
        <w:t>высокотемпературного насоса высокого давления ГХМ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»</w:t>
      </w:r>
      <w:r>
        <w:rPr>
          <w:rFonts w:cs="Times New Roman" w:ascii="Times New Roman" w:hAnsi="Times New Roman"/>
          <w:bCs/>
          <w:sz w:val="24"/>
          <w:szCs w:val="24"/>
        </w:rPr>
        <w:t>.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5" w:type="dxa"/>
          <w:bottom w:w="0" w:type="dxa"/>
          <w:right w:w="7" w:type="dxa"/>
        </w:tblCellMar>
        <w:tblLook w:firstRow="1" w:noVBand="1" w:lastRow="0" w:firstColumn="1" w:lastColumn="0" w:noHBand="0" w:val="04a0"/>
      </w:tblPr>
      <w:tblGrid>
        <w:gridCol w:w="703"/>
        <w:gridCol w:w="2839"/>
        <w:gridCol w:w="2555"/>
        <w:gridCol w:w="3683"/>
      </w:tblGrid>
      <w:tr>
        <w:trPr>
          <w:trHeight w:val="1027" w:hRule="atLeast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/>
                <w:b/>
                <w:bCs/>
                <w:lang w:eastAsia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lang w:eastAsia="ru-RU"/>
              </w:rPr>
              <w:t xml:space="preserve">№ </w:t>
            </w:r>
            <w:r>
              <w:rPr>
                <w:rFonts w:eastAsia="Calibri" w:cs="Times New Roman" w:ascii="Times New Roman" w:hAnsi="Times New Roman"/>
                <w:b/>
                <w:bCs/>
                <w:lang w:eastAsia="ru-RU"/>
              </w:rPr>
              <w:t>заявки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/>
                <w:b/>
                <w:bCs/>
                <w:lang w:eastAsia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lang w:eastAsia="ru-RU"/>
              </w:rPr>
              <w:t>Наименование участника запроса котировок</w:t>
            </w:r>
          </w:p>
        </w:tc>
        <w:tc>
          <w:tcPr>
            <w:tcW w:w="2555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/>
                <w:b/>
                <w:bCs/>
                <w:lang w:eastAsia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lang w:eastAsia="ru-RU"/>
              </w:rPr>
              <w:t>ИНН и (или) юридический и (или) фактический адрес участника запроса котировок</w:t>
            </w:r>
          </w:p>
        </w:tc>
        <w:tc>
          <w:tcPr>
            <w:tcW w:w="3683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/>
                <w:b/>
                <w:bCs/>
                <w:lang w:eastAsia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lang w:eastAsia="ru-RU"/>
              </w:rPr>
              <w:t>Сведения заявки на участие в запросе котировок</w:t>
            </w:r>
          </w:p>
        </w:tc>
      </w:tr>
      <w:tr>
        <w:trPr>
          <w:trHeight w:val="1661" w:hRule="atLeast"/>
        </w:trPr>
        <w:tc>
          <w:tcPr>
            <w:tcW w:w="703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839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30" w:right="91" w:hanging="0"/>
              <w:rPr>
                <w:rFonts w:ascii="Times New Roman" w:hAnsi="Times New Roman" w:eastAsia="Calibri" w:cs="Times New Roman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ООО "Производственная фирма Ока"</w:t>
            </w:r>
          </w:p>
        </w:tc>
        <w:tc>
          <w:tcPr>
            <w:tcW w:w="2555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 w:val="false"/>
              <w:ind w:left="30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i/>
                <w:sz w:val="24"/>
                <w:szCs w:val="24"/>
              </w:rPr>
              <w:t>ИНН</w:t>
            </w:r>
            <w:r>
              <w:rPr>
                <w:rFonts w:eastAsia="Calibri" w:cs="Times New Roman" w:ascii="Times New Roman" w:hAnsi="Times New Roman"/>
                <w:b/>
                <w:i/>
                <w:sz w:val="28"/>
                <w:szCs w:val="28"/>
              </w:rPr>
              <w:t>: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5252012050</w:t>
            </w:r>
          </w:p>
          <w:p>
            <w:pPr>
              <w:pStyle w:val="Normal"/>
              <w:widowControl w:val="false"/>
              <w:ind w:left="30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Default"/>
              <w:widowControl w:val="false"/>
              <w:ind w:left="30" w:hanging="0"/>
              <w:rPr>
                <w:b/>
                <w:b/>
                <w:i/>
                <w:i/>
                <w:color w:val="auto"/>
              </w:rPr>
            </w:pPr>
            <w:r>
              <w:rPr>
                <w:b/>
                <w:i/>
                <w:color w:val="auto"/>
              </w:rPr>
              <w:t>Юридический адрес:</w:t>
            </w:r>
          </w:p>
          <w:p>
            <w:pPr>
              <w:pStyle w:val="Normal"/>
              <w:widowControl w:val="false"/>
              <w:spacing w:lineRule="auto" w:line="240" w:before="0" w:after="0"/>
              <w:ind w:left="30" w:right="91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i w:val="false"/>
                <w:caps w:val="false"/>
                <w:smallCaps w:val="false"/>
                <w:color w:val="35383B"/>
                <w:spacing w:val="0"/>
                <w:sz w:val="24"/>
                <w:szCs w:val="24"/>
              </w:rPr>
              <w:t>606104, Нижегородская область, Павловский р-н, г. Павлово, ул. Аллея Ильича, д. 43 цех 9</w:t>
            </w:r>
          </w:p>
        </w:tc>
        <w:tc>
          <w:tcPr>
            <w:tcW w:w="3683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163" w:right="91" w:hanging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b/>
                <w:sz w:val="24"/>
                <w:szCs w:val="24"/>
                <w:lang w:eastAsia="ru-RU"/>
              </w:rPr>
              <w:t>Предмет закупки</w:t>
            </w: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 xml:space="preserve">: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«</w:t>
            </w: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  <w:t xml:space="preserve">Поставка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  <w:lang w:eastAsia="ru-RU"/>
              </w:rPr>
              <w:t>высокотемпературного насоса высокого давления ГХМ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»</w:t>
            </w:r>
          </w:p>
          <w:p>
            <w:pPr>
              <w:pStyle w:val="Normal"/>
              <w:widowControl w:val="false"/>
              <w:spacing w:lineRule="auto" w:line="240" w:before="0" w:after="0"/>
              <w:ind w:left="163" w:right="91" w:hanging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>Цена заявки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: </w:t>
            </w: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>1 554 000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 (Один  миллион пятьсот пятьдесят четыре тысячи) рублей 00 копеек, в том числе </w:t>
            </w: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 xml:space="preserve">НДС 20%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.</w:t>
            </w:r>
          </w:p>
          <w:p>
            <w:pPr>
              <w:pStyle w:val="Normal"/>
              <w:widowControl w:val="false"/>
              <w:spacing w:lineRule="auto" w:line="240" w:before="0" w:after="0"/>
              <w:ind w:left="163" w:right="91" w:hanging="0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>Дата и время поступления заявки:</w:t>
            </w:r>
          </w:p>
          <w:p>
            <w:pPr>
              <w:pStyle w:val="Normal"/>
              <w:widowControl w:val="false"/>
              <w:spacing w:lineRule="auto" w:line="240" w:before="0" w:after="0"/>
              <w:ind w:left="163" w:right="91" w:hanging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07 июня 2022 г.</w:t>
            </w:r>
          </w:p>
          <w:p>
            <w:pPr>
              <w:pStyle w:val="Normal"/>
              <w:widowControl w:val="false"/>
              <w:spacing w:lineRule="auto" w:line="240" w:before="0" w:after="0"/>
              <w:ind w:left="163" w:right="91" w:hanging="0"/>
              <w:jc w:val="both"/>
              <w:rPr>
                <w:rFonts w:ascii="Times New Roman" w:hAnsi="Times New Roman" w:eastAsia="Calibri" w:cs="Times New Roman"/>
                <w:b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15:28 (время московское)</w:t>
            </w:r>
          </w:p>
        </w:tc>
      </w:tr>
    </w:tbl>
    <w:p>
      <w:pPr>
        <w:pStyle w:val="NormalWeb"/>
        <w:spacing w:beforeAutospacing="0" w:before="280" w:afterAutospacing="0" w:after="0"/>
        <w:ind w:firstLine="567"/>
        <w:jc w:val="both"/>
        <w:rPr/>
      </w:pPr>
      <w:r>
        <w:rPr/>
        <w:t xml:space="preserve">3. По результатам рассмотрения заявок на участие в открытом запросе котировок, закупочной комиссией были приняты следующие решения: 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3.1.Признать соответствующими требованиям закупочной документации следующих участников открытого запроса котировок и их заявки в целом: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Участник №1 - ООО "ПФ Ока". Адрес: </w:t>
      </w: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35383B"/>
          <w:spacing w:val="0"/>
          <w:sz w:val="24"/>
          <w:szCs w:val="24"/>
        </w:rPr>
        <w:t>606104, Нижегородская область, Павловский р-н, г. Павлово, ул. Аллея Ильича, д. 43 цех 9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rmal"/>
        <w:spacing w:lineRule="auto" w:line="240" w:before="0" w:after="200"/>
        <w:ind w:firstLine="567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3.2. Результаты голосования членов аукционной комиссии: </w:t>
        <w:br/>
        <w:t xml:space="preserve">«за» - 4 голосов: Шорстов Д.А., Сотников Ю.П., </w:t>
      </w:r>
      <w:r>
        <w:rPr>
          <w:rFonts w:ascii="Times New Roman" w:hAnsi="Times New Roman"/>
          <w:sz w:val="24"/>
          <w:szCs w:val="24"/>
        </w:rPr>
        <w:t>Киселёва О.И.</w:t>
      </w:r>
      <w:r>
        <w:rPr>
          <w:rFonts w:ascii="Times New Roman" w:hAnsi="Times New Roman"/>
          <w:sz w:val="24"/>
          <w:szCs w:val="24"/>
        </w:rPr>
        <w:t>, Мигулин С.А.</w:t>
      </w:r>
    </w:p>
    <w:p>
      <w:pPr>
        <w:pStyle w:val="Normal"/>
        <w:spacing w:lineRule="auto" w:line="240" w:before="0" w:after="0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«против» - 0 голосов;</w:t>
      </w:r>
    </w:p>
    <w:p>
      <w:pPr>
        <w:pStyle w:val="Normal"/>
        <w:spacing w:lineRule="auto" w:line="240" w:before="0" w:after="0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«воздержался» - 0 голосов. 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left="0" w:hanging="0"/>
        <w:jc w:val="both"/>
        <w:outlineLvl w:val="0"/>
        <w:rPr>
          <w:rFonts w:ascii="Times New Roman" w:hAnsi="Times New Roman" w:eastAsia="Calibri"/>
          <w:sz w:val="24"/>
          <w:szCs w:val="24"/>
        </w:rPr>
      </w:pPr>
      <w:r>
        <w:rPr>
          <w:rFonts w:eastAsia="Calibri" w:ascii="Times New Roman" w:hAnsi="Times New Roman"/>
          <w:sz w:val="24"/>
          <w:szCs w:val="24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left="0" w:firstLine="567"/>
        <w:jc w:val="both"/>
        <w:outlineLvl w:val="0"/>
        <w:rPr>
          <w:rFonts w:ascii="Times New Roman" w:hAnsi="Times New Roman" w:eastAsia="Calibri"/>
          <w:sz w:val="24"/>
          <w:szCs w:val="24"/>
        </w:rPr>
      </w:pPr>
      <w:r>
        <w:rPr>
          <w:rFonts w:eastAsia="Calibri" w:ascii="Times New Roman" w:hAnsi="Times New Roman"/>
          <w:sz w:val="24"/>
          <w:szCs w:val="24"/>
        </w:rPr>
        <w:t>4. В соответствии с подпунктом а) пункта 4 статьи 6.4 главы 6 Единого отраслевого стандарта закупок Госкорпорации «Росатом» Заказчик вправе принять решение о заключении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left="0" w:hanging="0"/>
        <w:jc w:val="both"/>
        <w:outlineLvl w:val="0"/>
        <w:rPr>
          <w:rFonts w:ascii="Times New Roman" w:hAnsi="Times New Roman" w:eastAsia="Calibri"/>
          <w:sz w:val="24"/>
          <w:szCs w:val="24"/>
        </w:rPr>
      </w:pPr>
      <w:r>
        <w:rPr>
          <w:rFonts w:eastAsia="Calibri" w:ascii="Times New Roman" w:hAnsi="Times New Roman"/>
          <w:sz w:val="24"/>
          <w:szCs w:val="24"/>
        </w:rPr>
        <w:t xml:space="preserve">договора с единственным участником открытого запроса котировок среди субъектов МСП на </w:t>
      </w:r>
      <w:r>
        <w:rPr>
          <w:rFonts w:ascii="Times New Roman" w:hAnsi="Times New Roman"/>
          <w:bCs/>
          <w:sz w:val="24"/>
          <w:szCs w:val="24"/>
        </w:rPr>
        <w:t>«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 xml:space="preserve">Поставку </w:t>
      </w: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  <w:lang w:eastAsia="ru-RU"/>
        </w:rPr>
        <w:t>высокотемпературного насоса высокого давления ГХМ</w:t>
      </w:r>
      <w:r>
        <w:rPr>
          <w:rFonts w:ascii="Times New Roman" w:hAnsi="Times New Roman"/>
          <w:bCs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eastAsia="Calibri" w:ascii="Times New Roman" w:hAnsi="Times New Roman"/>
          <w:sz w:val="24"/>
          <w:szCs w:val="24"/>
        </w:rPr>
        <w:t>на условиях, указанных в закупочной документации.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left="0" w:hanging="0"/>
        <w:jc w:val="both"/>
        <w:outlineLvl w:val="0"/>
        <w:rPr>
          <w:rFonts w:ascii="Times New Roman" w:hAnsi="Times New Roman" w:eastAsia="Calibri"/>
          <w:sz w:val="24"/>
          <w:szCs w:val="24"/>
        </w:rPr>
      </w:pPr>
      <w:r>
        <w:rPr>
          <w:rFonts w:eastAsia="Calibri" w:ascii="Times New Roman" w:hAnsi="Times New Roman"/>
          <w:sz w:val="24"/>
          <w:szCs w:val="24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left="0" w:hanging="0"/>
        <w:jc w:val="both"/>
        <w:outlineLvl w:val="0"/>
        <w:rPr>
          <w:rFonts w:ascii="Times New Roman" w:hAnsi="Times New Roman" w:eastAsia="Calibri"/>
          <w:sz w:val="24"/>
          <w:szCs w:val="24"/>
        </w:rPr>
      </w:pPr>
      <w:r>
        <w:rPr>
          <w:rFonts w:eastAsia="Calibri" w:ascii="Times New Roman" w:hAnsi="Times New Roman"/>
          <w:sz w:val="24"/>
          <w:szCs w:val="24"/>
        </w:rPr>
        <w:t>Цена предложения: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left="0" w:hanging="0"/>
        <w:jc w:val="both"/>
        <w:outlineLvl w:val="0"/>
        <w:rPr/>
      </w:pP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  <w:t>1 554 000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(Один  миллион пятьсот пятьдесят четыре тысячи) рублей 00 копеек, в том числе </w:t>
      </w: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  <w:t>НДС 20%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, в том числе НДС 20% 259 000 (Двести пятьдесят девять тысяч) рублей 00 копеек..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left="0" w:hanging="0"/>
        <w:jc w:val="both"/>
        <w:outlineLvl w:val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4.1. В соответствии с требованиями пп. а) п. 2 ст. 9.3. главы 9 Единого отраслевого стандарта закупок Государственной корпорации по атомной энергии «Росатом» провести с участником открытого запроса котировок ООО "ПФ Ока" (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35383B"/>
          <w:spacing w:val="0"/>
          <w:sz w:val="24"/>
          <w:szCs w:val="24"/>
          <w:lang w:eastAsia="ru-RU"/>
        </w:rPr>
        <w:t>606104, Нижегородская область, Павловский р-н, г. Павлово, ул. Аллея Ильича, д. 43 цех 9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) на: «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 xml:space="preserve">Поставку </w:t>
      </w: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  <w:lang w:eastAsia="ru-RU"/>
        </w:rPr>
        <w:t>высокотемпературного насоса высокого давления ГХМ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» преддоговорные переговоры по снижению цены без изменения иных условий исполнения договора.</w:t>
      </w:r>
    </w:p>
    <w:p>
      <w:pPr>
        <w:pStyle w:val="Normal"/>
        <w:widowControl w:val="false"/>
        <w:numPr>
          <w:ilvl w:val="0"/>
          <w:numId w:val="0"/>
        </w:numPr>
        <w:spacing w:before="0" w:after="160"/>
        <w:ind w:left="0" w:hanging="0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Закупочная</w:t>
      </w:r>
      <w:r>
        <w:rPr>
          <w:rFonts w:ascii="Times New Roman" w:hAnsi="Times New Roman"/>
          <w:b/>
          <w:bCs/>
          <w:sz w:val="24"/>
          <w:szCs w:val="24"/>
        </w:rPr>
        <w:t xml:space="preserve"> комиссия:</w:t>
      </w:r>
      <w:r>
        <w:rPr>
          <w:rFonts w:ascii="Times New Roman" w:hAnsi="Times New Roman"/>
          <w:sz w:val="24"/>
          <w:szCs w:val="24"/>
        </w:rPr>
        <w:t xml:space="preserve"> 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left="0" w:hanging="0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Госкорпорации «Росатом»: </w:t>
      </w:r>
    </w:p>
    <w:p>
      <w:pPr>
        <w:pStyle w:val="Normal"/>
        <w:numPr>
          <w:ilvl w:val="0"/>
          <w:numId w:val="9"/>
        </w:numPr>
        <w:tabs>
          <w:tab w:val="clear" w:pos="708"/>
          <w:tab w:val="left" w:pos="993" w:leader="none"/>
        </w:tabs>
        <w:spacing w:lineRule="auto" w:line="240" w:before="0" w:after="0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подтверждает объективность принимаемых решений;</w:t>
      </w:r>
    </w:p>
    <w:p>
      <w:pPr>
        <w:pStyle w:val="Normal"/>
        <w:numPr>
          <w:ilvl w:val="0"/>
          <w:numId w:val="10"/>
        </w:numPr>
        <w:tabs>
          <w:tab w:val="clear" w:pos="708"/>
          <w:tab w:val="left" w:pos="993" w:leader="none"/>
        </w:tabs>
        <w:spacing w:lineRule="auto" w:line="240" w:before="0" w:after="0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sz w:val="24"/>
          <w:szCs w:val="24"/>
        </w:rPr>
        <w:t>аукциона</w:t>
      </w:r>
      <w:r>
        <w:rPr>
          <w:rFonts w:ascii="Times New Roman" w:hAnsi="Times New Roman"/>
          <w:sz w:val="24"/>
          <w:szCs w:val="24"/>
        </w:rPr>
        <w:t>;</w:t>
      </w:r>
    </w:p>
    <w:p>
      <w:pPr>
        <w:pStyle w:val="Normal"/>
        <w:numPr>
          <w:ilvl w:val="0"/>
          <w:numId w:val="11"/>
        </w:numPr>
        <w:tabs>
          <w:tab w:val="clear" w:pos="708"/>
          <w:tab w:val="left" w:pos="993" w:leader="none"/>
        </w:tabs>
        <w:spacing w:lineRule="auto" w:line="240" w:before="0" w:after="0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принимает на себя обязательства:</w:t>
      </w:r>
    </w:p>
    <w:p>
      <w:pPr>
        <w:pStyle w:val="Normal"/>
        <w:numPr>
          <w:ilvl w:val="0"/>
          <w:numId w:val="12"/>
        </w:numPr>
        <w:spacing w:lineRule="auto" w:line="240" w:before="0" w:after="0"/>
        <w:ind w:left="1418" w:hanging="425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</w:rPr>
        <w:t xml:space="preserve">не допускать во время проведения </w:t>
      </w:r>
      <w:r>
        <w:rPr>
          <w:rFonts w:ascii="Times New Roman" w:hAnsi="Times New Roman"/>
          <w:bCs/>
          <w:sz w:val="24"/>
          <w:szCs w:val="24"/>
        </w:rPr>
        <w:t>аукциона</w:t>
      </w:r>
      <w:r>
        <w:rPr>
          <w:rFonts w:ascii="Times New Roman" w:hAnsi="Times New Roman"/>
          <w:sz w:val="24"/>
          <w:szCs w:val="24"/>
        </w:rPr>
        <w:t xml:space="preserve"> предоставления сведений о предложениях участников </w:t>
      </w:r>
      <w:r>
        <w:rPr>
          <w:rFonts w:ascii="Times New Roman" w:hAnsi="Times New Roman"/>
          <w:bCs/>
          <w:sz w:val="24"/>
          <w:szCs w:val="24"/>
        </w:rPr>
        <w:t>аукциона</w:t>
      </w:r>
      <w:r>
        <w:rPr>
          <w:rFonts w:ascii="Times New Roman" w:hAnsi="Times New Roman"/>
          <w:sz w:val="24"/>
          <w:szCs w:val="24"/>
        </w:rPr>
        <w:t xml:space="preserve">, ходе проведения </w:t>
      </w:r>
      <w:r>
        <w:rPr>
          <w:rFonts w:ascii="Times New Roman" w:hAnsi="Times New Roman"/>
          <w:bCs/>
          <w:sz w:val="24"/>
          <w:szCs w:val="24"/>
        </w:rPr>
        <w:t>аукциона</w:t>
      </w:r>
      <w:r>
        <w:rPr>
          <w:rFonts w:ascii="Times New Roman" w:hAnsi="Times New Roman"/>
          <w:sz w:val="24"/>
          <w:szCs w:val="24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аукционной документацией;</w:t>
      </w:r>
    </w:p>
    <w:p>
      <w:pPr>
        <w:pStyle w:val="Normal"/>
        <w:numPr>
          <w:ilvl w:val="0"/>
          <w:numId w:val="13"/>
        </w:numPr>
        <w:spacing w:lineRule="auto" w:line="240" w:before="0" w:after="0"/>
        <w:ind w:left="1418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sz w:val="24"/>
          <w:szCs w:val="24"/>
        </w:rPr>
        <w:t>аукциона</w:t>
      </w:r>
      <w:r>
        <w:rPr>
          <w:rFonts w:ascii="Times New Roman" w:hAnsi="Times New Roman"/>
          <w:sz w:val="24"/>
          <w:szCs w:val="24"/>
        </w:rPr>
        <w:t xml:space="preserve"> 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sz w:val="24"/>
          <w:szCs w:val="24"/>
        </w:rPr>
        <w:t>аукциона</w:t>
      </w:r>
      <w:r>
        <w:rPr>
          <w:rFonts w:ascii="Times New Roman" w:hAnsi="Times New Roman"/>
          <w:sz w:val="24"/>
          <w:szCs w:val="24"/>
        </w:rPr>
        <w:t>;</w:t>
      </w:r>
    </w:p>
    <w:p>
      <w:pPr>
        <w:pStyle w:val="Normal"/>
        <w:numPr>
          <w:ilvl w:val="0"/>
          <w:numId w:val="14"/>
        </w:numPr>
        <w:spacing w:lineRule="auto" w:line="240" w:before="0" w:after="0"/>
        <w:ind w:left="1418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sz w:val="24"/>
          <w:szCs w:val="24"/>
        </w:rPr>
        <w:t>аукциона</w:t>
      </w:r>
      <w:r>
        <w:rPr>
          <w:rFonts w:ascii="Times New Roman" w:hAnsi="Times New Roman"/>
          <w:sz w:val="24"/>
          <w:szCs w:val="24"/>
        </w:rPr>
        <w:t xml:space="preserve">, кроме случаев, прямо предусмотренных условиями проведения </w:t>
      </w:r>
      <w:r>
        <w:rPr>
          <w:rFonts w:ascii="Times New Roman" w:hAnsi="Times New Roman"/>
          <w:bCs/>
          <w:sz w:val="24"/>
          <w:szCs w:val="24"/>
        </w:rPr>
        <w:t>аукциона</w:t>
      </w:r>
      <w:r>
        <w:rPr>
          <w:rFonts w:ascii="Times New Roman" w:hAnsi="Times New Roman"/>
          <w:sz w:val="24"/>
          <w:szCs w:val="24"/>
        </w:rPr>
        <w:t>.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firstRow="1" w:noVBand="1" w:lastRow="0" w:firstColumn="1" w:lastColumn="0" w:noHBand="0" w:val="04a0"/>
      </w:tblPr>
      <w:tblGrid>
        <w:gridCol w:w="2402"/>
        <w:gridCol w:w="5189"/>
        <w:gridCol w:w="2190"/>
      </w:tblGrid>
      <w:tr>
        <w:trPr>
          <w:trHeight w:val="624" w:hRule="atLeast"/>
        </w:trPr>
        <w:tc>
          <w:tcPr>
            <w:tcW w:w="24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b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51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b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21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/>
                <w:b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Подпись</w:t>
            </w:r>
          </w:p>
        </w:tc>
      </w:tr>
      <w:tr>
        <w:trPr>
          <w:trHeight w:val="624" w:hRule="atLeast"/>
        </w:trPr>
        <w:tc>
          <w:tcPr>
            <w:tcW w:w="9781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b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Председатель аукционной комиссии:</w:t>
            </w:r>
          </w:p>
        </w:tc>
      </w:tr>
      <w:tr>
        <w:trPr>
          <w:trHeight w:val="624" w:hRule="atLeast"/>
        </w:trPr>
        <w:tc>
          <w:tcPr>
            <w:tcW w:w="24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Шорстов Денис Анатольевич</w:t>
            </w:r>
          </w:p>
        </w:tc>
        <w:tc>
          <w:tcPr>
            <w:tcW w:w="51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</w:tc>
        <w:tc>
          <w:tcPr>
            <w:tcW w:w="21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624" w:hRule="atLeast"/>
        </w:trPr>
        <w:tc>
          <w:tcPr>
            <w:tcW w:w="9781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b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Члены аукционной комиссии:</w:t>
            </w:r>
          </w:p>
        </w:tc>
      </w:tr>
      <w:tr>
        <w:trPr>
          <w:trHeight w:val="624" w:hRule="atLeast"/>
        </w:trPr>
        <w:tc>
          <w:tcPr>
            <w:tcW w:w="24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Сотников Юрий Петрович</w:t>
            </w:r>
          </w:p>
        </w:tc>
        <w:tc>
          <w:tcPr>
            <w:tcW w:w="51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Главный инженер</w:t>
            </w:r>
          </w:p>
        </w:tc>
        <w:tc>
          <w:tcPr>
            <w:tcW w:w="21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624" w:hRule="atLeast"/>
        </w:trPr>
        <w:tc>
          <w:tcPr>
            <w:tcW w:w="24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Киселёва Ольга Ивановна</w:t>
            </w:r>
          </w:p>
        </w:tc>
        <w:tc>
          <w:tcPr>
            <w:tcW w:w="51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Главный бухгалтер</w:t>
            </w:r>
          </w:p>
        </w:tc>
        <w:tc>
          <w:tcPr>
            <w:tcW w:w="21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624" w:hRule="atLeast"/>
        </w:trPr>
        <w:tc>
          <w:tcPr>
            <w:tcW w:w="24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Мигулин Сергей Александрович</w:t>
            </w:r>
          </w:p>
        </w:tc>
        <w:tc>
          <w:tcPr>
            <w:tcW w:w="51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отдела технической оценки и экспертиз</w:t>
            </w:r>
          </w:p>
        </w:tc>
        <w:tc>
          <w:tcPr>
            <w:tcW w:w="21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624" w:hRule="atLeast"/>
        </w:trPr>
        <w:tc>
          <w:tcPr>
            <w:tcW w:w="9781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/>
                <w:b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Секретарь аукционной комиссии (без права голоса)</w:t>
            </w:r>
          </w:p>
        </w:tc>
      </w:tr>
      <w:tr>
        <w:trPr>
          <w:trHeight w:val="624" w:hRule="atLeast"/>
        </w:trPr>
        <w:tc>
          <w:tcPr>
            <w:tcW w:w="24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Ефремов Александр Георгиевич</w:t>
            </w:r>
          </w:p>
        </w:tc>
        <w:tc>
          <w:tcPr>
            <w:tcW w:w="51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Отдела материально-технического снабжения и закупок</w:t>
            </w:r>
          </w:p>
        </w:tc>
        <w:tc>
          <w:tcPr>
            <w:tcW w:w="21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pStyle w:val="Normal"/>
        <w:widowControl/>
        <w:suppressAutoHyphens w:val="true"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701" w:right="424" w:gutter="0" w:header="0" w:top="568" w:footer="0" w:bottom="284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)"/>
      <w:lvlJc w:val="left"/>
      <w:pPr>
        <w:tabs>
          <w:tab w:val="num" w:pos="0"/>
        </w:tabs>
        <w:ind w:left="502" w:hanging="360"/>
      </w:pPr>
      <w:rPr>
        <w:sz w:val="28"/>
        <w:i w:val="false"/>
        <w:b w:val="false"/>
        <w:szCs w:val="28"/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0"/>
        </w:tabs>
        <w:ind w:left="1287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0"/>
        </w:tabs>
        <w:ind w:left="1287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1287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2"/>
    <w:lvlOverride w:ilvl="0">
      <w:startOverride w:val="1"/>
    </w:lvlOverride>
  </w:num>
  <w:num w:numId="10">
    <w:abstractNumId w:val="2"/>
  </w:num>
  <w:num w:numId="11">
    <w:abstractNumId w:val="2"/>
  </w:num>
  <w:num w:numId="12">
    <w:abstractNumId w:val="5"/>
    <w:lvlOverride w:ilvl="0">
      <w:startOverride w:val="1"/>
    </w:lvlOverride>
  </w:num>
  <w:num w:numId="13">
    <w:abstractNumId w:val="5"/>
  </w:num>
  <w:num w:numId="14">
    <w:abstractNumId w:val="5"/>
  </w:num>
</w:numbering>
</file>

<file path=word/settings.xml><?xml version="1.0" encoding="utf-8"?>
<w:settings xmlns:w="http://schemas.openxmlformats.org/wordprocessingml/2006/main">
  <w:zoom w:percent="96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d45cc2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uiPriority w:val="99"/>
    <w:semiHidden/>
    <w:qFormat/>
    <w:rsid w:val="0070549e"/>
    <w:rPr>
      <w:rFonts w:ascii="Tahoma" w:hAnsi="Tahoma" w:cs="Tahoma"/>
      <w:sz w:val="16"/>
      <w:szCs w:val="16"/>
    </w:rPr>
  </w:style>
  <w:style w:type="character" w:styleId="Style15" w:customStyle="1">
    <w:name w:val="Интернет-ссылка"/>
    <w:basedOn w:val="DefaultParagraphFont"/>
    <w:uiPriority w:val="99"/>
    <w:unhideWhenUsed/>
    <w:rsid w:val="00162693"/>
    <w:rPr>
      <w:color w:val="0000FF" w:themeColor="hyperlink"/>
      <w:u w:val="single"/>
    </w:rPr>
  </w:style>
  <w:style w:type="character" w:styleId="FontStyle120" w:customStyle="1">
    <w:name w:val="Font Style120"/>
    <w:basedOn w:val="DefaultParagraphFont"/>
    <w:uiPriority w:val="99"/>
    <w:qFormat/>
    <w:rsid w:val="0053405b"/>
    <w:rPr>
      <w:rFonts w:ascii="Times New Roman" w:hAnsi="Times New Roman" w:cs="Times New Roman"/>
      <w:sz w:val="24"/>
      <w:szCs w:val="24"/>
    </w:rPr>
  </w:style>
  <w:style w:type="character" w:styleId="Appleconvertedspace" w:customStyle="1">
    <w:name w:val="apple-converted-space"/>
    <w:basedOn w:val="DefaultParagraphFont"/>
    <w:qFormat/>
    <w:rsid w:val="00a7374c"/>
    <w:rPr/>
  </w:style>
  <w:style w:type="character" w:styleId="FontStyle12" w:customStyle="1">
    <w:name w:val="Font Style12"/>
    <w:uiPriority w:val="99"/>
    <w:qFormat/>
    <w:rsid w:val="00aa4c4d"/>
    <w:rPr>
      <w:rFonts w:ascii="Times New Roman" w:hAnsi="Times New Roman"/>
      <w:sz w:val="26"/>
    </w:rPr>
  </w:style>
  <w:style w:type="character" w:styleId="Style16" w:customStyle="1">
    <w:name w:val="Абзац списка Знак"/>
    <w:uiPriority w:val="34"/>
    <w:qFormat/>
    <w:rsid w:val="003922c9"/>
    <w:rPr>
      <w:rFonts w:ascii="Calibri" w:hAnsi="Calibri" w:eastAsia="Calibri" w:cs="Times New Roman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Strong">
    <w:name w:val="Strong"/>
    <w:qFormat/>
    <w:rPr>
      <w:b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paragraph" w:styleId="Style17" w:customStyle="1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before="0" w:after="140"/>
    </w:pPr>
    <w:rPr/>
  </w:style>
  <w:style w:type="paragraph" w:styleId="Style19">
    <w:name w:val="List"/>
    <w:basedOn w:val="Style18"/>
    <w:pPr/>
    <w:rPr>
      <w:rFonts w:cs="Lucida Sans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heading">
    <w:name w:val="index heading"/>
    <w:basedOn w:val="Normal"/>
    <w:qFormat/>
    <w:pPr>
      <w:suppressLineNumbers/>
    </w:pPr>
    <w:rPr>
      <w:rFonts w:cs="Lucida Sans"/>
    </w:rPr>
  </w:style>
  <w:style w:type="paragraph" w:styleId="BalloonText">
    <w:name w:val="Balloon Text"/>
    <w:basedOn w:val="Normal"/>
    <w:uiPriority w:val="99"/>
    <w:semiHidden/>
    <w:unhideWhenUsed/>
    <w:qFormat/>
    <w:rsid w:val="0070549e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Default" w:customStyle="1">
    <w:name w:val="Default"/>
    <w:qFormat/>
    <w:rsid w:val="00c162c8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0"/>
      <w:kern w:val="0"/>
      <w:sz w:val="24"/>
      <w:szCs w:val="24"/>
      <w:lang w:val="ru-RU" w:eastAsia="en-US" w:bidi="ar-SA"/>
    </w:rPr>
  </w:style>
  <w:style w:type="paragraph" w:styleId="ListParagraph">
    <w:name w:val="List Paragraph"/>
    <w:basedOn w:val="Normal"/>
    <w:uiPriority w:val="34"/>
    <w:qFormat/>
    <w:rsid w:val="003922c9"/>
    <w:pPr>
      <w:spacing w:before="0" w:after="200"/>
      <w:ind w:left="720" w:hanging="0"/>
      <w:contextualSpacing/>
    </w:pPr>
    <w:rPr>
      <w:rFonts w:ascii="Calibri" w:hAnsi="Calibri" w:eastAsia="Calibri" w:cs="Times New Roman"/>
    </w:rPr>
  </w:style>
  <w:style w:type="paragraph" w:styleId="31" w:customStyle="1">
    <w:name w:val="Основной текст с отступом 31"/>
    <w:basedOn w:val="Normal"/>
    <w:uiPriority w:val="99"/>
    <w:qFormat/>
    <w:rsid w:val="001548ad"/>
    <w:pPr>
      <w:spacing w:lineRule="auto" w:line="240" w:before="0" w:after="0"/>
      <w:ind w:firstLine="709"/>
      <w:jc w:val="both"/>
    </w:pPr>
    <w:rPr>
      <w:rFonts w:ascii="Times New Roman" w:hAnsi="Times New Roman" w:eastAsia="Times New Roman" w:cs="Times New Roman"/>
      <w:b/>
      <w:bCs/>
      <w:sz w:val="26"/>
      <w:szCs w:val="26"/>
      <w:lang w:eastAsia="ar-SA"/>
    </w:rPr>
  </w:style>
  <w:style w:type="paragraph" w:styleId="NormalWeb">
    <w:name w:val="Normal (Web)"/>
    <w:basedOn w:val="Normal"/>
    <w:uiPriority w:val="99"/>
    <w:semiHidden/>
    <w:unhideWhenUsed/>
    <w:qFormat/>
    <w:rsid w:val="001548ad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22">
    <w:name w:val="Обычный"/>
    <w:qFormat/>
    <w:pPr>
      <w:widowControl/>
      <w:suppressAutoHyphens w:val="true"/>
      <w:bidi w:val="0"/>
      <w:spacing w:before="100" w:after="100"/>
      <w:jc w:val="left"/>
    </w:pPr>
    <w:rPr>
      <w:rFonts w:ascii="Times New Roman" w:hAnsi="Times New Roman" w:eastAsia="Arial" w:cs="Courier New"/>
      <w:color w:val="auto"/>
      <w:kern w:val="0"/>
      <w:sz w:val="24"/>
      <w:szCs w:val="24"/>
      <w:lang w:val="ru-RU" w:eastAsia="en-US" w:bidi="ar-SA"/>
    </w:rPr>
  </w:style>
  <w:style w:type="paragraph" w:styleId="DefinitionTerm">
    <w:name w:val="Definition Term"/>
    <w:basedOn w:val="Style22"/>
    <w:qFormat/>
    <w:pPr/>
    <w:rPr/>
  </w:style>
  <w:style w:type="paragraph" w:styleId="DefinitionList">
    <w:name w:val="Definition List"/>
    <w:basedOn w:val="Style22"/>
    <w:qFormat/>
    <w:pPr>
      <w:ind w:left="360" w:hanging="0"/>
    </w:pPr>
    <w:rPr/>
  </w:style>
  <w:style w:type="paragraph" w:styleId="H1">
    <w:name w:val="H1"/>
    <w:basedOn w:val="Style22"/>
    <w:qFormat/>
    <w:pPr>
      <w:keepNext w:val="true"/>
      <w:spacing w:before="100" w:after="100"/>
      <w:outlineLvl w:val="1"/>
    </w:pPr>
    <w:rPr>
      <w:b/>
      <w:kern w:val="2"/>
      <w:sz w:val="48"/>
    </w:rPr>
  </w:style>
  <w:style w:type="paragraph" w:styleId="H2">
    <w:name w:val="H2"/>
    <w:basedOn w:val="Style22"/>
    <w:qFormat/>
    <w:pPr>
      <w:keepNext w:val="true"/>
      <w:spacing w:before="100" w:after="100"/>
      <w:outlineLvl w:val="2"/>
    </w:pPr>
    <w:rPr>
      <w:b/>
      <w:sz w:val="36"/>
    </w:rPr>
  </w:style>
  <w:style w:type="paragraph" w:styleId="H3">
    <w:name w:val="H3"/>
    <w:basedOn w:val="Style22"/>
    <w:qFormat/>
    <w:pPr>
      <w:keepNext w:val="true"/>
      <w:spacing w:before="100" w:after="100"/>
      <w:outlineLvl w:val="3"/>
    </w:pPr>
    <w:rPr>
      <w:b/>
      <w:sz w:val="28"/>
    </w:rPr>
  </w:style>
  <w:style w:type="paragraph" w:styleId="H4">
    <w:name w:val="H4"/>
    <w:basedOn w:val="Style22"/>
    <w:qFormat/>
    <w:pPr>
      <w:keepNext w:val="true"/>
      <w:spacing w:before="100" w:after="100"/>
      <w:outlineLvl w:val="4"/>
    </w:pPr>
    <w:rPr>
      <w:b/>
      <w:sz w:val="24"/>
    </w:rPr>
  </w:style>
  <w:style w:type="paragraph" w:styleId="H5">
    <w:name w:val="H5"/>
    <w:basedOn w:val="Style22"/>
    <w:qFormat/>
    <w:pPr>
      <w:keepNext w:val="true"/>
      <w:spacing w:before="100" w:after="100"/>
      <w:outlineLvl w:val="5"/>
    </w:pPr>
    <w:rPr>
      <w:b/>
      <w:sz w:val="20"/>
    </w:rPr>
  </w:style>
  <w:style w:type="paragraph" w:styleId="H6">
    <w:name w:val="H6"/>
    <w:basedOn w:val="Style22"/>
    <w:qFormat/>
    <w:pPr>
      <w:keepNext w:val="true"/>
      <w:spacing w:before="100" w:after="100"/>
      <w:outlineLvl w:val="6"/>
    </w:pPr>
    <w:rPr>
      <w:b/>
      <w:sz w:val="16"/>
    </w:rPr>
  </w:style>
  <w:style w:type="paragraph" w:styleId="Address">
    <w:name w:val="Address"/>
    <w:basedOn w:val="Style22"/>
    <w:qFormat/>
    <w:pPr/>
    <w:rPr>
      <w:i/>
    </w:rPr>
  </w:style>
  <w:style w:type="paragraph" w:styleId="Blockquote">
    <w:name w:val="Blockquote"/>
    <w:basedOn w:val="Style22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2"/>
    <w:qFormat/>
    <w:pPr>
      <w:tabs>
        <w:tab w:val="clear" w:pos="708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en-US" w:bidi="ar-SA"/>
    </w:rPr>
  </w:style>
  <w:style w:type="paragraph" w:styleId="ZTopofForm">
    <w:name w:val="z-Top of Form"/>
    <w:qFormat/>
    <w:pPr>
      <w:widowControl/>
      <w:pBdr>
        <w:bottom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zakupki.gov.ru/" TargetMode="External"/><Relationship Id="rId3" Type="http://schemas.openxmlformats.org/officeDocument/2006/relationships/hyperlink" Target="http://zakupki.rosatom.ru/" TargetMode="External"/><Relationship Id="rId4" Type="http://schemas.openxmlformats.org/officeDocument/2006/relationships/hyperlink" Target="http://www.utp.sberbank-ast.ru/" TargetMode="Externa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71AC16-4DB6-4328-8B7B-D41D90D0EB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Application>LibreOffice/7.2.2.2$Windows_X86_64 LibreOffice_project/02b2acce88a210515b4a5bb2e46cbfb63fe97d56</Application>
  <AppVersion>15.0000</AppVersion>
  <Pages>4</Pages>
  <Words>1257</Words>
  <Characters>7167</Characters>
  <CharactersWithSpaces>8408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2022-06-14T10:02:00Z</dcterms:created>
  <dc:creator>XT</dc:creator>
  <dc:description/>
  <dc:language>ru-RU</dc:language>
  <cp:lastModifiedBy/>
  <cp:lastPrinted>2022-06-14T16:13:41Z</cp:lastPrinted>
  <dcterms:modified xsi:type="dcterms:W3CDTF">2022-06-14T16:14:16Z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Encoding">
    <vt:lpwstr>utf-8</vt:lpwstr>
  </property>
  <property fmtid="{D5CDD505-2E9C-101B-9397-08002B2CF9AE}" pid="3" name="HTML">
    <vt:bool>1</vt:bool>
  </property>
</Properties>
</file>