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left="0" w:right="0" w:hanging="0"/>
        <w:jc w:val="center"/>
        <w:rPr>
          <w:rFonts w:ascii="XO Thames" w:hAnsi="XO Thames"/>
          <w:sz w:val="28"/>
        </w:rPr>
      </w:pPr>
      <w:r>
        <w:rPr>
          <w:b/>
          <w:sz w:val="28"/>
        </w:rPr>
        <w:t>П</w:t>
      </w:r>
      <w:r>
        <w:rPr>
          <w:b/>
          <w:caps/>
          <w:sz w:val="28"/>
        </w:rPr>
        <w:t>ротокол</w:t>
      </w:r>
      <w:r>
        <w:rPr>
          <w:b/>
          <w:sz w:val="28"/>
        </w:rPr>
        <w:t xml:space="preserve"> </w:t>
      </w:r>
    </w:p>
    <w:p>
      <w:pPr>
        <w:pStyle w:val="Normal"/>
        <w:spacing w:before="0" w:after="0"/>
        <w:ind w:left="0" w:right="0" w:hanging="0"/>
        <w:jc w:val="center"/>
        <w:rPr>
          <w:rFonts w:ascii="XO Thames" w:hAnsi="XO Thames"/>
          <w:sz w:val="28"/>
        </w:rPr>
      </w:pPr>
      <w:r>
        <w:rPr>
          <w:b/>
          <w:sz w:val="28"/>
        </w:rPr>
        <w:t>заседания закупочной комиссии по рассмотрению и подведению итогов закупки на право заключения договора на Поставку консервов мясных, молочных, рыбных, овощных и фруктовых</w:t>
      </w:r>
    </w:p>
    <w:p>
      <w:pPr>
        <w:pStyle w:val="Normal"/>
        <w:spacing w:before="0" w:after="0"/>
        <w:ind w:left="0" w:right="0" w:hanging="0"/>
        <w:jc w:val="center"/>
        <w:rPr>
          <w:rFonts w:ascii="XO Thames" w:hAnsi="XO Thames"/>
          <w:sz w:val="28"/>
        </w:rPr>
      </w:pPr>
      <w:r>
        <w:rPr>
          <w:b/>
          <w:sz w:val="28"/>
        </w:rPr>
        <w:t> 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</w:rPr>
      </w:pPr>
      <w:r>
        <w:rPr>
          <w:b/>
          <w:sz w:val="28"/>
        </w:rPr>
        <w:t> </w:t>
      </w:r>
    </w:p>
    <w:tbl>
      <w:tblPr>
        <w:tblStyle w:val="Style_3"/>
        <w:tblW w:w="10129" w:type="dxa"/>
        <w:jc w:val="left"/>
        <w:tblInd w:w="0" w:type="dxa"/>
        <w:tblLayout w:type="fixed"/>
        <w:tblCellMar>
          <w:top w:w="0" w:type="dxa"/>
          <w:left w:w="113" w:type="dxa"/>
          <w:bottom w:w="0" w:type="dxa"/>
          <w:right w:w="113" w:type="dxa"/>
        </w:tblCellMar>
      </w:tblPr>
      <w:tblGrid>
        <w:gridCol w:w="2964"/>
        <w:gridCol w:w="7164"/>
      </w:tblGrid>
      <w:tr>
        <w:trPr/>
        <w:tc>
          <w:tcPr>
            <w:tcW w:w="29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left="0" w:right="0" w:hanging="0"/>
              <w:jc w:val="left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г. Десногорск</w:t>
            </w:r>
          </w:p>
        </w:tc>
        <w:tc>
          <w:tcPr>
            <w:tcW w:w="7164" w:type="dxa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-1247" w:right="454" w:hanging="1587"/>
              <w:jc w:val="right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дата подписания протокола «22» января 2025 г.</w:t>
            </w:r>
          </w:p>
        </w:tc>
      </w:tr>
    </w:tbl>
    <w:p>
      <w:pPr>
        <w:pStyle w:val="Normal"/>
        <w:spacing w:before="0" w:after="0"/>
        <w:ind w:left="0" w:right="0" w:hanging="0"/>
        <w:rPr>
          <w:rFonts w:ascii="XO Thames" w:hAnsi="XO Thames"/>
          <w:sz w:val="28"/>
        </w:rPr>
      </w:pPr>
      <w:r>
        <w:rPr>
          <w:b/>
          <w:sz w:val="28"/>
        </w:rPr>
        <w:t> 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</w:rPr>
      </w:pPr>
      <w:r>
        <w:rPr>
          <w:b/>
          <w:sz w:val="28"/>
        </w:rPr>
        <w:t>Информация о закупке: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</w:rPr>
      </w:pPr>
      <w:r>
        <w:rPr>
          <w:sz w:val="28"/>
        </w:rPr>
        <w:t>Заказчик: Общество с ограниченной ответственностью "СМОЛЕНСКАЯ АЭС-СЕРВИС".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</w:rPr>
      </w:pPr>
      <w:r>
        <w:rPr>
          <w:sz w:val="28"/>
        </w:rPr>
        <w:t>Организатор закупки: ООО "Смоленская АЭС-Сервис".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</w:rPr>
      </w:pPr>
      <w:r>
        <w:rPr>
          <w:sz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before="0" w:after="0"/>
        <w:jc w:val="both"/>
        <w:rPr>
          <w:rFonts w:ascii="XO Thames" w:hAnsi="XO Thames"/>
          <w:sz w:val="28"/>
        </w:rPr>
      </w:pPr>
      <w:r>
        <w:rPr>
          <w:sz w:val="28"/>
        </w:rPr>
        <w:t xml:space="preserve">Предмет закупки: право заключения договора на Поставку консервов мясных, молочных, рыбных, овощных и фруктовых </w:t>
      </w:r>
    </w:p>
    <w:p>
      <w:pPr>
        <w:pStyle w:val="Normal"/>
        <w:jc w:val="both"/>
        <w:rPr>
          <w:rFonts w:ascii="XO Thames" w:hAnsi="XO Thames"/>
          <w:sz w:val="28"/>
        </w:rPr>
      </w:pPr>
      <w:r>
        <w:rPr>
          <w:sz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>
      <w:pPr>
        <w:pStyle w:val="Normal"/>
        <w:jc w:val="both"/>
        <w:rPr>
          <w:rFonts w:ascii="XO Thames" w:hAnsi="XO Thames"/>
          <w:sz w:val="28"/>
        </w:rPr>
      </w:pPr>
      <w:r>
        <w:rPr>
          <w:sz w:val="28"/>
        </w:rPr>
        <w:t xml:space="preserve">Срок поставки товара: 31.08.2025 </w:t>
      </w:r>
    </w:p>
    <w:p>
      <w:pPr>
        <w:pStyle w:val="Normal"/>
        <w:jc w:val="both"/>
        <w:rPr>
          <w:rFonts w:ascii="XO Thames" w:hAnsi="XO Thames"/>
          <w:sz w:val="28"/>
        </w:rPr>
      </w:pPr>
      <w:r>
        <w:rPr>
          <w:sz w:val="28"/>
        </w:rPr>
        <w:t xml:space="preserve">Начальная (максимальная) цена договора: 6 998 303,33 (Шесть миллионов девятьсот девяносто восемь тысяч триста три рубля)  33 копейки, с НДС. </w:t>
      </w:r>
    </w:p>
    <w:p>
      <w:pPr>
        <w:pStyle w:val="Normal"/>
        <w:spacing w:before="240" w:after="0"/>
        <w:ind w:left="0" w:right="0" w:hanging="0"/>
        <w:rPr>
          <w:rFonts w:ascii="XO Thames" w:hAnsi="XO Thames"/>
          <w:sz w:val="28"/>
        </w:rPr>
      </w:pPr>
      <w:r>
        <w:rPr>
          <w:sz w:val="28"/>
        </w:rPr>
        <w:t xml:space="preserve">Извещение о проведении закупки (закупочная </w:t>
      </w:r>
      <w:r>
        <w:rPr>
          <w:color w:val="000000"/>
          <w:sz w:val="28"/>
        </w:rPr>
        <w:t>документация) опубликовано</w:t>
      </w:r>
      <w:r>
        <w:rPr>
          <w:sz w:val="28"/>
        </w:rPr>
        <w:t xml:space="preserve"> «14» января 2025 года на официальном государственном сайте </w:t>
      </w:r>
      <w:hyperlink r:id="rId2">
        <w:r>
          <w:rPr>
            <w:color w:val="0000FF"/>
            <w:sz w:val="28"/>
            <w:u w:val="single" w:color="0063A4"/>
          </w:rPr>
          <w:t>http://www.zakupki.gov.ru</w:t>
        </w:r>
      </w:hyperlink>
      <w:r>
        <w:rPr>
          <w:color w:val="0000FF"/>
          <w:sz w:val="28"/>
          <w:u w:val="single" w:color="0063A4"/>
        </w:rPr>
        <w:t>/</w:t>
      </w:r>
      <w:r>
        <w:rPr>
          <w:sz w:val="28"/>
        </w:rPr>
        <w:t xml:space="preserve">, закупка 32514417407, на официальном сайте по закупкам атомной отрасли </w:t>
      </w:r>
      <w:hyperlink r:id="rId3">
        <w:r>
          <w:rPr>
            <w:color w:val="0000FF"/>
            <w:sz w:val="28"/>
            <w:u w:val="single" w:color="0063A4"/>
          </w:rPr>
          <w:t>http://zakupki.rosatom.ru</w:t>
        </w:r>
      </w:hyperlink>
      <w:r>
        <w:rPr>
          <w:color w:val="0000FF"/>
          <w:sz w:val="28"/>
          <w:u w:val="single" w:color="0063A4"/>
        </w:rPr>
        <w:t>/</w:t>
      </w:r>
      <w:r>
        <w:rPr>
          <w:sz w:val="28"/>
        </w:rPr>
        <w:t>, закупка № 47085,</w:t>
      </w:r>
      <w:r>
        <w:rPr>
          <w:color w:val="FF0000"/>
          <w:sz w:val="28"/>
        </w:rPr>
        <w:t xml:space="preserve"> </w:t>
      </w:r>
      <w:r>
        <w:rPr>
          <w:sz w:val="28"/>
        </w:rPr>
        <w:t>на ЭТП АКЦИОНЕРНОЕ ОБЩЕСТВО «ЭЛЕКТРОННЫЕ ТОРГОВЫЕ СИСТЕМЫ», закупка № 32514417407.</w:t>
      </w:r>
    </w:p>
    <w:p>
      <w:pPr>
        <w:pStyle w:val="Normal"/>
        <w:spacing w:before="120" w:after="0"/>
        <w:ind w:left="0" w:right="0" w:hanging="0"/>
        <w:rPr>
          <w:rFonts w:ascii="XO Thames" w:hAnsi="XO Thames"/>
          <w:sz w:val="28"/>
        </w:rPr>
      </w:pPr>
      <w:r>
        <w:rPr>
          <w:sz w:val="28"/>
        </w:rPr>
        <w:t xml:space="preserve">Заседание закупочной комиссии проводится в очной форме в 14:30 (время московское) «22» января 2025 года, по адресу: 216400, Смоленская обл, г. Десногорск, 3 мкр., здание ИАЦ. </w:t>
      </w:r>
    </w:p>
    <w:p>
      <w:pPr>
        <w:pStyle w:val="Normal"/>
        <w:spacing w:before="120" w:after="0"/>
        <w:ind w:left="0" w:right="0" w:hanging="0"/>
        <w:rPr>
          <w:rFonts w:ascii="XO Thames" w:hAnsi="XO Thames"/>
          <w:sz w:val="28"/>
        </w:rPr>
      </w:pPr>
      <w:r>
        <w:rPr>
          <w:b/>
          <w:color w:val="000000"/>
          <w:sz w:val="28"/>
        </w:rPr>
        <w:t xml:space="preserve">В заседании принимают участие: </w:t>
      </w:r>
    </w:p>
    <w:tbl>
      <w:tblPr>
        <w:tblStyle w:val="Style_4"/>
        <w:tblW w:w="10309" w:type="dxa"/>
        <w:jc w:val="left"/>
        <w:tblInd w:w="0" w:type="dxa"/>
        <w:tblLayout w:type="fixed"/>
        <w:tblCellMar>
          <w:top w:w="0" w:type="dxa"/>
          <w:left w:w="7" w:type="dxa"/>
          <w:bottom w:w="0" w:type="dxa"/>
          <w:right w:w="7" w:type="dxa"/>
        </w:tblCellMar>
      </w:tblPr>
      <w:tblGrid>
        <w:gridCol w:w="3547"/>
        <w:gridCol w:w="6761"/>
      </w:tblGrid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ФИО </w:t>
            </w:r>
          </w:p>
        </w:tc>
        <w:tc>
          <w:tcPr>
            <w:tcW w:w="67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Должность </w:t>
            </w:r>
          </w:p>
        </w:tc>
      </w:tr>
      <w:tr>
        <w:trPr/>
        <w:tc>
          <w:tcPr>
            <w:tcW w:w="10308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XO Thames" w:hAnsi="XO Thames"/>
                <w:b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Туманов А.П.</w:t>
            </w:r>
          </w:p>
        </w:tc>
        <w:tc>
          <w:tcPr>
            <w:tcW w:w="67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Генеральный директор </w:t>
            </w:r>
          </w:p>
        </w:tc>
      </w:tr>
      <w:tr>
        <w:trPr/>
        <w:tc>
          <w:tcPr>
            <w:tcW w:w="10308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XO Thames" w:hAnsi="XO Thames"/>
                <w:b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Заместители Председателя закупочной комиссии: 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Артеменков А.А.</w:t>
            </w:r>
          </w:p>
        </w:tc>
        <w:tc>
          <w:tcPr>
            <w:tcW w:w="67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Главный инженер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Шпекторов А.С.</w:t>
            </w:r>
          </w:p>
        </w:tc>
        <w:tc>
          <w:tcPr>
            <w:tcW w:w="67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Заместитель Генерального директора по экономике и финансам 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Чуприн С.В.</w:t>
            </w:r>
          </w:p>
        </w:tc>
        <w:tc>
          <w:tcPr>
            <w:tcW w:w="67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Горецкая М.Н.</w:t>
            </w:r>
          </w:p>
        </w:tc>
        <w:tc>
          <w:tcPr>
            <w:tcW w:w="67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Заместитель Генерального директора по общественному питанию</w:t>
            </w:r>
          </w:p>
        </w:tc>
      </w:tr>
      <w:tr>
        <w:trPr/>
        <w:tc>
          <w:tcPr>
            <w:tcW w:w="10308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XO Thames" w:hAnsi="XO Thames"/>
                <w:b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Члены закупочной комиссии: 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Киселева Е.Е. </w:t>
            </w:r>
          </w:p>
        </w:tc>
        <w:tc>
          <w:tcPr>
            <w:tcW w:w="67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Начальник ПЭО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Сафронова О. Н. </w:t>
            </w:r>
          </w:p>
        </w:tc>
        <w:tc>
          <w:tcPr>
            <w:tcW w:w="67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Начальник ООЗ и МТО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Крамар О. Н. </w:t>
            </w:r>
          </w:p>
        </w:tc>
        <w:tc>
          <w:tcPr>
            <w:tcW w:w="67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Руководитель ГО МТО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Лебедева О. Н. </w:t>
            </w:r>
          </w:p>
        </w:tc>
        <w:tc>
          <w:tcPr>
            <w:tcW w:w="67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Руководитель ГОЗ ООЗ и МТО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Терновская М.И.</w:t>
            </w:r>
          </w:p>
        </w:tc>
        <w:tc>
          <w:tcPr>
            <w:tcW w:w="67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Ведущий юрисконсульт ГПО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Климова Н.А.</w:t>
            </w:r>
          </w:p>
        </w:tc>
        <w:tc>
          <w:tcPr>
            <w:tcW w:w="67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Товаровед</w:t>
            </w:r>
          </w:p>
        </w:tc>
      </w:tr>
      <w:tr>
        <w:trPr/>
        <w:tc>
          <w:tcPr>
            <w:tcW w:w="10308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XO Thames" w:hAnsi="XO Thames"/>
                <w:b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Секретарь закупочной комиссии (без права голоса) 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Скачкова О.В. </w:t>
            </w:r>
          </w:p>
        </w:tc>
        <w:tc>
          <w:tcPr>
            <w:tcW w:w="67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Специалист ГОЗ ООЗ и МТО </w:t>
            </w:r>
          </w:p>
        </w:tc>
      </w:tr>
    </w:tbl>
    <w:p>
      <w:pPr>
        <w:pStyle w:val="Normal"/>
        <w:spacing w:before="240" w:after="0"/>
        <w:ind w:left="0" w:right="0" w:hanging="0"/>
        <w:rPr>
          <w:rFonts w:ascii="XO Thames" w:hAnsi="XO Thames"/>
          <w:sz w:val="28"/>
        </w:rPr>
      </w:pPr>
      <w:r>
        <w:rPr>
          <w:color w:val="000000"/>
          <w:sz w:val="28"/>
        </w:rPr>
        <w:t>Заседание проводится в присутствии 11 из11 членов закупочной комиссии.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</w:rPr>
      </w:pPr>
      <w:r>
        <w:rPr>
          <w:color w:val="000000"/>
          <w:sz w:val="28"/>
        </w:rPr>
        <w:t>Кворум имеется.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</w:rPr>
      </w:pPr>
      <w:r>
        <w:rPr>
          <w:sz w:val="28"/>
        </w:rPr>
        <w:t> </w:t>
      </w:r>
    </w:p>
    <w:p>
      <w:pPr>
        <w:pStyle w:val="Normal"/>
        <w:spacing w:before="0" w:after="0"/>
        <w:ind w:left="426" w:right="0" w:hanging="360"/>
        <w:rPr>
          <w:rFonts w:ascii="XO Thames" w:hAnsi="XO Thames"/>
          <w:sz w:val="28"/>
        </w:rPr>
      </w:pPr>
      <w:r>
        <w:rPr>
          <w:color w:val="000000"/>
          <w:sz w:val="28"/>
        </w:rPr>
        <w:t>1.</w:t>
      </w:r>
      <w:r>
        <w:rPr>
          <w:b w:val="false"/>
          <w:i w:val="false"/>
          <w:caps w:val="false"/>
          <w:smallCaps w:val="false"/>
          <w:color w:val="000000"/>
          <w:sz w:val="28"/>
        </w:rPr>
        <w:t xml:space="preserve">     </w:t>
      </w:r>
      <w:r>
        <w:rPr>
          <w:sz w:val="28"/>
        </w:rPr>
        <w:t xml:space="preserve">Срок окончания подачи заявок на участие в закупке </w:t>
      </w:r>
      <w:r>
        <w:rPr>
          <w:color w:val="000000"/>
          <w:sz w:val="28"/>
        </w:rPr>
        <w:t xml:space="preserve">08:00 (время московское)  «22» января 2025 года </w:t>
      </w:r>
    </w:p>
    <w:p>
      <w:pPr>
        <w:pStyle w:val="Normal"/>
        <w:spacing w:before="0" w:after="0"/>
        <w:ind w:left="0" w:right="0" w:hanging="0"/>
        <w:jc w:val="both"/>
        <w:rPr>
          <w:rFonts w:ascii="XO Thames" w:hAnsi="XO Thames"/>
          <w:sz w:val="28"/>
        </w:rPr>
      </w:pPr>
      <w:r>
        <w:rPr>
          <w:sz w:val="28"/>
        </w:rPr>
        <w:t>Количество поданных на ЭТП  АКЦИОНЕРНОЕ ОБЩЕСТВО «ЭЛЕКТРОННЫЕ ТОРГОВЫЕ СИСТЕМЫ»</w:t>
      </w:r>
      <w:hyperlink r:id="rId4">
        <w:r>
          <w:rPr>
            <w:color w:val="000000"/>
            <w:sz w:val="28"/>
          </w:rPr>
          <w:t>заявок на участие в закупке</w:t>
        </w:r>
      </w:hyperlink>
      <w:r>
        <w:rPr>
          <w:sz w:val="28"/>
        </w:rPr>
        <w:t xml:space="preserve">: 2 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8"/>
        </w:rPr>
      </w:pPr>
      <w:r>
        <w:rPr>
          <w:sz w:val="28"/>
        </w:rPr>
        <w:t>Согласно результатам открытия доступа к заявкам на участие в закупке:</w:t>
      </w:r>
    </w:p>
    <w:p>
      <w:pPr>
        <w:pStyle w:val="Normal"/>
        <w:spacing w:before="160" w:after="160"/>
        <w:ind w:left="0" w:right="0" w:hanging="0"/>
        <w:rPr>
          <w:rFonts w:ascii="XO Thames" w:hAnsi="XO Thames"/>
          <w:sz w:val="28"/>
        </w:rPr>
      </w:pPr>
      <w:r>
        <w:rPr>
          <w:sz w:val="28"/>
        </w:rPr>
        <w:t>1.1.Индивидуальный предприниматель Маслова Ирина Анатольевна</w:t>
      </w:r>
    </w:p>
    <w:p>
      <w:pPr>
        <w:pStyle w:val="Normal"/>
        <w:spacing w:before="160" w:after="160"/>
        <w:ind w:left="0" w:right="0" w:hanging="0"/>
        <w:rPr>
          <w:rFonts w:ascii="XO Thames" w:hAnsi="XO Thames"/>
          <w:sz w:val="28"/>
        </w:rPr>
      </w:pPr>
      <w:r>
        <w:rPr>
          <w:sz w:val="28"/>
        </w:rPr>
        <w:t>1.2. Общество с ограниченной ответственностью "НПК"</w:t>
      </w:r>
    </w:p>
    <w:p>
      <w:pPr>
        <w:pStyle w:val="Normal"/>
        <w:spacing w:before="160" w:after="160"/>
        <w:ind w:left="0" w:right="0" w:hanging="0"/>
        <w:rPr>
          <w:rFonts w:ascii="XO Thames" w:hAnsi="XO Thames"/>
          <w:sz w:val="28"/>
        </w:rPr>
      </w:pPr>
      <w:r>
        <w:rPr>
          <w:sz w:val="28"/>
        </w:rPr>
        <w:t>2.По результатам рассмотрения заявок на участие в закупке закупочной комиссией были приняты следующие решения: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</w:rPr>
      </w:pPr>
      <w:r>
        <w:rPr>
          <w:sz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</w:rPr>
      </w:pPr>
      <w:r>
        <w:rPr>
          <w:sz w:val="28"/>
        </w:rPr>
        <w:t>2.1.1. Индивидуальный предприниматель Маслова Ирина Анатольевна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</w:rPr>
      </w:pPr>
      <w:r>
        <w:rPr>
          <w:sz w:val="28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</w:rPr>
      </w:pPr>
      <w:r>
        <w:rPr>
          <w:sz w:val="28"/>
        </w:rPr>
        <w:t>«за» -11</w:t>
      </w:r>
      <w:r>
        <w:rPr>
          <w:color w:val="000000"/>
          <w:sz w:val="28"/>
        </w:rPr>
        <w:t xml:space="preserve"> </w:t>
      </w:r>
      <w:r>
        <w:rPr>
          <w:sz w:val="28"/>
        </w:rPr>
        <w:t>голоса/-ов: Туманов А.П., Артеменков А.А.,Шпекторов А.С.,Чуприн С.В., Горецкая М.Н.,  Киселева Е.Е.,  Сафронова О.Н.,Крамар О.Н., Лебедева О.Н.,  Терновская М.И., Климова Н.А.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</w:rPr>
      </w:pPr>
      <w:r>
        <w:rPr>
          <w:sz w:val="28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8"/>
        </w:rPr>
      </w:pPr>
      <w:r>
        <w:rPr>
          <w:sz w:val="28"/>
        </w:rPr>
        <w:t>«воздержался» - 0 голоса/-ов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</w:rPr>
      </w:pPr>
      <w:r>
        <w:rPr>
          <w:sz w:val="28"/>
        </w:rPr>
        <w:t>2.1.2. Общество с ограниченной ответственностью "НПК"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</w:rPr>
      </w:pPr>
      <w:r>
        <w:rPr>
          <w:sz w:val="28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</w:rPr>
      </w:pPr>
      <w:r>
        <w:rPr>
          <w:sz w:val="28"/>
        </w:rPr>
        <w:t>«за» -11</w:t>
      </w:r>
      <w:r>
        <w:rPr>
          <w:color w:val="000000"/>
          <w:sz w:val="28"/>
        </w:rPr>
        <w:t xml:space="preserve"> </w:t>
      </w:r>
      <w:r>
        <w:rPr>
          <w:sz w:val="28"/>
        </w:rPr>
        <w:t>голоса/-ов: Туманов А.П., Артеменков А.А.,Шпекторов А.С.,Чуприн С.В., Горецкая М.Н.,  Киселева Е.Е.,  Сафронова О.Н.,Крамар О.Н., Лебедева О.Н.,  Терновская М.И., Климова Н.А.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</w:rPr>
      </w:pPr>
      <w:r>
        <w:rPr>
          <w:sz w:val="28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8"/>
        </w:rPr>
      </w:pPr>
      <w:r>
        <w:rPr>
          <w:sz w:val="28"/>
        </w:rPr>
        <w:t>«воздержался» - 0 голоса/-ов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</w:rPr>
      </w:pPr>
      <w:r>
        <w:rPr>
          <w:sz w:val="28"/>
        </w:rPr>
        <w:t>Количество отклоненных заявок участников: 0.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</w:rPr>
      </w:pPr>
      <w:r>
        <w:rPr>
          <w:sz w:val="28"/>
        </w:rPr>
        <w:t xml:space="preserve">3. Информация о ценовых предложениях участников: </w:t>
      </w:r>
    </w:p>
    <w:tbl>
      <w:tblPr>
        <w:tblStyle w:val="Style_4"/>
        <w:tblW w:w="10308" w:type="dxa"/>
        <w:jc w:val="left"/>
        <w:tblInd w:w="0" w:type="dxa"/>
        <w:tblLayout w:type="fixed"/>
        <w:tblCellMar>
          <w:top w:w="82" w:type="dxa"/>
          <w:left w:w="82" w:type="dxa"/>
          <w:bottom w:w="82" w:type="dxa"/>
          <w:right w:w="82" w:type="dxa"/>
        </w:tblCellMar>
      </w:tblPr>
      <w:tblGrid>
        <w:gridCol w:w="2176"/>
        <w:gridCol w:w="4912"/>
        <w:gridCol w:w="1496"/>
        <w:gridCol w:w="1723"/>
      </w:tblGrid>
      <w:tr>
        <w:trPr/>
        <w:tc>
          <w:tcPr>
            <w:tcW w:w="2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49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Участник закупки </w:t>
            </w:r>
          </w:p>
        </w:tc>
        <w:tc>
          <w:tcPr>
            <w:tcW w:w="14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Дата и время регистрации заявки </w:t>
            </w:r>
          </w:p>
        </w:tc>
        <w:tc>
          <w:tcPr>
            <w:tcW w:w="172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Ценовое предложение, сделанное участником закупки </w:t>
            </w:r>
          </w:p>
        </w:tc>
      </w:tr>
      <w:tr>
        <w:trPr/>
        <w:tc>
          <w:tcPr>
            <w:tcW w:w="2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32514417407-1-1</w:t>
            </w:r>
          </w:p>
        </w:tc>
        <w:tc>
          <w:tcPr>
            <w:tcW w:w="49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Общество с ограниченной ответственностью "НПК" </w:t>
              <w:br/>
              <w:t xml:space="preserve">ИНН: 7722812237 </w:t>
              <w:br/>
              <w:t>Адрес:109052, Москва г, Нижегородская ул, 70, этаж 1, корп. 2, пом . 8, оф. 2</w:t>
            </w:r>
          </w:p>
        </w:tc>
        <w:tc>
          <w:tcPr>
            <w:tcW w:w="14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«20» января 2025 года 19:40 (время московское)</w:t>
            </w:r>
          </w:p>
        </w:tc>
        <w:tc>
          <w:tcPr>
            <w:tcW w:w="172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6 482 442,20 (Шесть миллионов четыреста восемьдесят две тысячи четыреста сорок два) рубля 20 копеек, включая НДС</w:t>
            </w:r>
          </w:p>
        </w:tc>
      </w:tr>
      <w:tr>
        <w:trPr/>
        <w:tc>
          <w:tcPr>
            <w:tcW w:w="21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0"/>
              </w:rPr>
              <w:t>32514417407-1-2</w:t>
            </w:r>
          </w:p>
        </w:tc>
        <w:tc>
          <w:tcPr>
            <w:tcW w:w="49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0"/>
              </w:rPr>
              <w:t xml:space="preserve">Индивидуальный предприниматель Маслова Ирина Анатольевна </w:t>
              <w:br/>
              <w:t xml:space="preserve">ИНН: 673108173615 </w:t>
              <w:br/>
              <w:t>Адрес:  214031, Российская Федерация (РФ, Россия), Смоленская област ь, Г. Смоленск, ПР-Д Соловьиная роща, Д.</w:t>
            </w:r>
          </w:p>
        </w:tc>
        <w:tc>
          <w:tcPr>
            <w:tcW w:w="14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0"/>
              </w:rPr>
              <w:t>«21» января 2025 года 21:33 (время московское)</w:t>
            </w:r>
          </w:p>
        </w:tc>
        <w:tc>
          <w:tcPr>
            <w:tcW w:w="17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0"/>
              </w:rPr>
              <w:t>6  510 895,70(Шесть миллионов пятьсот десять тысяч восемьсот девяносто пять ) рублей 70 копеек, включая НДС</w:t>
            </w:r>
          </w:p>
        </w:tc>
      </w:tr>
    </w:tbl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</w:rPr>
      </w:pPr>
      <w:r>
        <w:rPr>
          <w:sz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Style w:val="Style_4"/>
        <w:tblW w:w="10309" w:type="dxa"/>
        <w:jc w:val="left"/>
        <w:tblInd w:w="0" w:type="dxa"/>
        <w:tblLayout w:type="fixed"/>
        <w:tblCellMar>
          <w:top w:w="82" w:type="dxa"/>
          <w:left w:w="82" w:type="dxa"/>
          <w:bottom w:w="82" w:type="dxa"/>
          <w:right w:w="82" w:type="dxa"/>
        </w:tblCellMar>
      </w:tblPr>
      <w:tblGrid>
        <w:gridCol w:w="851"/>
        <w:gridCol w:w="2176"/>
        <w:gridCol w:w="4960"/>
        <w:gridCol w:w="2321"/>
      </w:tblGrid>
      <w:tr>
        <w:trPr/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Место </w:t>
            </w:r>
          </w:p>
        </w:tc>
        <w:tc>
          <w:tcPr>
            <w:tcW w:w="2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49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Участник закупки </w:t>
            </w:r>
          </w:p>
        </w:tc>
        <w:tc>
          <w:tcPr>
            <w:tcW w:w="23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Ценовое предложение</w:t>
            </w:r>
          </w:p>
        </w:tc>
      </w:tr>
      <w:tr>
        <w:trPr/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1</w:t>
            </w:r>
          </w:p>
        </w:tc>
        <w:tc>
          <w:tcPr>
            <w:tcW w:w="2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32413715376-1-1</w:t>
            </w:r>
          </w:p>
        </w:tc>
        <w:tc>
          <w:tcPr>
            <w:tcW w:w="49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Общество с ограниченной ответственностью "НПК" </w:t>
              <w:br/>
              <w:t xml:space="preserve">ИНН: 7722812237 </w:t>
              <w:br/>
              <w:t>Адрес:  109052, Москва г, Нижегородская ул, 70, этаж 1, корп. 2, пом . 8, оф. 2</w:t>
            </w:r>
          </w:p>
        </w:tc>
        <w:tc>
          <w:tcPr>
            <w:tcW w:w="23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6 482 442,20 (Шесть миллионов четыреста восемьдесят две тысячи четыреста сорок два) рубля 20 копеек, включая НДС</w:t>
            </w:r>
          </w:p>
        </w:tc>
      </w:tr>
      <w:tr>
        <w:trPr/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2</w:t>
            </w:r>
          </w:p>
        </w:tc>
        <w:tc>
          <w:tcPr>
            <w:tcW w:w="2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32413715376-1-2</w:t>
            </w:r>
          </w:p>
        </w:tc>
        <w:tc>
          <w:tcPr>
            <w:tcW w:w="49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 xml:space="preserve">Индивидуальный предприниматель Маслова Ирина Анатольевна </w:t>
              <w:br/>
              <w:t xml:space="preserve">ИНН: 673108173615 </w:t>
              <w:br/>
              <w:t>Адрес:  214031, Российская Федерация (РФ, Россия), Смоленская област ь, Г. Смоленск, ПР-Д Соловьиная роща, Д.</w:t>
            </w:r>
          </w:p>
        </w:tc>
        <w:tc>
          <w:tcPr>
            <w:tcW w:w="23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z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0"/>
              </w:rPr>
              <w:t>6  510 895,70(Шесть миллионов пятьсот десять тысяч восемьсот девяносто пять ) рублей 70 копеек, включая НДС</w:t>
            </w:r>
          </w:p>
        </w:tc>
      </w:tr>
    </w:tbl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</w:rPr>
      </w:pPr>
      <w:r>
        <w:rPr>
          <w:sz w:val="28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</w:rPr>
      </w:pPr>
      <w:r>
        <w:rPr>
          <w:sz w:val="28"/>
        </w:rPr>
        <w:t>«за» -11</w:t>
      </w:r>
      <w:r>
        <w:rPr>
          <w:color w:val="000000"/>
          <w:sz w:val="28"/>
        </w:rPr>
        <w:t xml:space="preserve"> </w:t>
      </w:r>
      <w:r>
        <w:rPr>
          <w:sz w:val="28"/>
        </w:rPr>
        <w:t>голоса/-ов: Туманов А.П., Артеменков А.А.,Шпекторов А.С.,Чуприн С.В., Горецкая М.Н.,  Киселева Е.Е.,  Сафронова О.Н.,Крамар О.Н., Лебедева О.Н.,  Терновская М.И., Климова Н.А.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</w:rPr>
      </w:pPr>
      <w:r>
        <w:rPr>
          <w:sz w:val="28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8"/>
        </w:rPr>
      </w:pPr>
      <w:r>
        <w:rPr>
          <w:sz w:val="28"/>
        </w:rPr>
        <w:t>«воздержался» - 0 голоса/-ов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</w:rPr>
      </w:pPr>
      <w:r>
        <w:rPr>
          <w:sz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"НПК" с наименьшим ценовым предложением: </w:t>
      </w:r>
      <w:r>
        <w:rPr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0"/>
        </w:rPr>
        <w:t>6 482 442,20 (Шесть миллионов четыреста восемьдесят две тысячи четыреста сорок два) рубля 20 копеек, включая НДС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</w:rPr>
      </w:pPr>
      <w:r>
        <w:rPr>
          <w:sz w:val="28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</w:rPr>
      </w:pPr>
      <w:r>
        <w:rPr>
          <w:sz w:val="28"/>
        </w:rPr>
        <w:t>«за» -11</w:t>
      </w:r>
      <w:r>
        <w:rPr>
          <w:color w:val="000000"/>
          <w:sz w:val="28"/>
        </w:rPr>
        <w:t xml:space="preserve"> </w:t>
      </w:r>
      <w:r>
        <w:rPr>
          <w:sz w:val="28"/>
        </w:rPr>
        <w:t>голоса/-ов: Туманов А.П., Артеменков А.А.,Шпекторов А.С.,Чуприн С.В., Горецкая М.Н.,  Киселева Е.Е.,  Сафронова О.Н.,Крамар О.Н., Лебедева О.Н.,  Терновская М.И., Климова Н.А.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</w:rPr>
      </w:pPr>
      <w:r>
        <w:rPr>
          <w:sz w:val="28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8"/>
        </w:rPr>
      </w:pPr>
      <w:r>
        <w:rPr>
          <w:sz w:val="28"/>
        </w:rPr>
        <w:t>«воздержался» - 0 голоса/-ов</w:t>
      </w:r>
    </w:p>
    <w:p>
      <w:pPr>
        <w:pStyle w:val="Normal"/>
        <w:spacing w:before="240" w:after="0"/>
        <w:ind w:left="0" w:right="0" w:hanging="0"/>
        <w:rPr>
          <w:rFonts w:ascii="XO Thames" w:hAnsi="XO Thames"/>
          <w:sz w:val="28"/>
        </w:rPr>
      </w:pPr>
      <w:r>
        <w:rPr>
          <w:b/>
          <w:color w:val="000000"/>
          <w:sz w:val="28"/>
        </w:rPr>
        <w:t>Закупочная комиссия</w:t>
      </w:r>
      <w:r>
        <w:rPr>
          <w:color w:val="000000"/>
          <w:sz w:val="28"/>
        </w:rPr>
        <w:t>: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</w:rPr>
      </w:pPr>
      <w:r>
        <w:rPr>
          <w:color w:val="000000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spacing w:before="0" w:after="0"/>
        <w:ind w:left="-142" w:right="0" w:firstLine="142"/>
        <w:rPr>
          <w:rFonts w:ascii="XO Thames" w:hAnsi="XO Thames"/>
          <w:sz w:val="28"/>
        </w:rPr>
      </w:pPr>
      <w:r>
        <w:rPr>
          <w:color w:val="000000"/>
          <w:sz w:val="28"/>
        </w:rPr>
        <w:t>подтверждает объективность принимаемых решений;</w:t>
      </w:r>
    </w:p>
    <w:p>
      <w:pPr>
        <w:pStyle w:val="Normal"/>
        <w:spacing w:before="0" w:after="0"/>
        <w:ind w:left="-142" w:right="0" w:firstLine="142"/>
        <w:rPr>
          <w:rFonts w:ascii="XO Thames" w:hAnsi="XO Thames"/>
          <w:sz w:val="28"/>
        </w:rPr>
      </w:pPr>
      <w:r>
        <w:rPr>
          <w:color w:val="000000"/>
          <w:sz w:val="28"/>
        </w:rPr>
        <w:t>заявляет об отсутствии личной заинтересованности в исходе закупки;</w:t>
      </w:r>
    </w:p>
    <w:p>
      <w:pPr>
        <w:pStyle w:val="Normal"/>
        <w:spacing w:before="0" w:after="0"/>
        <w:ind w:left="-142" w:right="0" w:firstLine="142"/>
        <w:rPr>
          <w:rFonts w:ascii="XO Thames" w:hAnsi="XO Thames"/>
          <w:sz w:val="28"/>
        </w:rPr>
      </w:pPr>
      <w:r>
        <w:rPr>
          <w:color w:val="000000"/>
          <w:sz w:val="28"/>
        </w:rPr>
        <w:t>принимает на себя обязательства:</w:t>
      </w:r>
    </w:p>
    <w:p>
      <w:pPr>
        <w:pStyle w:val="Normal"/>
        <w:spacing w:before="0" w:after="0"/>
        <w:ind w:left="1" w:right="0" w:hanging="0"/>
        <w:rPr>
          <w:rFonts w:ascii="XO Thames" w:hAnsi="XO Thames"/>
          <w:sz w:val="28"/>
        </w:rPr>
      </w:pPr>
      <w:r>
        <w:rPr>
          <w:color w:val="000000"/>
          <w:sz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before="0" w:after="0"/>
        <w:ind w:left="1" w:right="0" w:hanging="0"/>
        <w:rPr>
          <w:rFonts w:ascii="XO Thames" w:hAnsi="XO Thames"/>
          <w:sz w:val="28"/>
        </w:rPr>
      </w:pPr>
      <w:r>
        <w:rPr>
          <w:color w:val="000000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Normal"/>
        <w:spacing w:before="0" w:after="0"/>
        <w:ind w:left="1" w:right="0" w:hanging="0"/>
        <w:rPr>
          <w:rFonts w:ascii="XO Thames" w:hAnsi="XO Thames"/>
          <w:sz w:val="28"/>
        </w:rPr>
      </w:pPr>
      <w:r>
        <w:rPr>
          <w:color w:val="000000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  <w:r>
        <w:rPr>
          <w:sz w:val="28"/>
        </w:rPr>
        <w:t> </w:t>
      </w:r>
    </w:p>
    <w:p>
      <w:pPr>
        <w:pStyle w:val="Normal"/>
        <w:spacing w:before="240" w:after="160"/>
        <w:ind w:left="0" w:right="0" w:hanging="0"/>
        <w:rPr>
          <w:rFonts w:ascii="XO Thames" w:hAnsi="XO Thames"/>
          <w:sz w:val="28"/>
        </w:rPr>
      </w:pPr>
      <w:r>
        <w:rPr>
          <w:sz w:val="28"/>
        </w:rPr>
        <w:t> </w:t>
      </w:r>
    </w:p>
    <w:sectPr>
      <w:footerReference w:type="default" r:id="rId5"/>
      <w:type w:val="nextPage"/>
      <w:pgSz w:w="12240" w:h="15840"/>
      <w:pgMar w:left="1440" w:right="1440" w:gutter="0" w:header="0" w:top="1440" w:footer="72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XO Thames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677" w:leader="none"/>
        <w:tab w:val="right" w:pos="9355" w:leader="none"/>
      </w:tabs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>Протокол  заседания закупочной комиссии по рассмотрению и подведению итогов закупки (итоговый протокол) на  право заключения договора на Поставку консервов мясных, молочных, рыбных, овощных и фруктовых</w:t>
    </w:r>
  </w:p>
  <w:p>
    <w:pPr>
      <w:pStyle w:val="Normal"/>
      <w:tabs>
        <w:tab w:val="clear" w:pos="720"/>
        <w:tab w:val="center" w:pos="4677" w:leader="none"/>
        <w:tab w:val="right" w:pos="9355" w:leader="none"/>
      </w:tabs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fldCharType="begin"/>
    </w:r>
    <w:r>
      <w:rPr>
        <w:sz w:val="16"/>
        <w:rFonts w:ascii="Times New Roman" w:hAnsi="Times New Roman"/>
      </w:rPr>
      <w:instrText xml:space="preserve"> PAGE </w:instrText>
    </w:r>
    <w:r>
      <w:rPr>
        <w:sz w:val="16"/>
        <w:rFonts w:ascii="Times New Roman" w:hAnsi="Times New Roman"/>
      </w:rPr>
      <w:fldChar w:fldCharType="separate"/>
    </w:r>
    <w:r>
      <w:rPr>
        <w:sz w:val="16"/>
        <w:rFonts w:ascii="Times New Roman" w:hAnsi="Times New Roman"/>
      </w:rPr>
      <w:t>5</w:t>
    </w:r>
    <w:r>
      <w:rPr>
        <w:sz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fldCharType="begin"/>
    </w:r>
    <w:r>
      <w:rPr>
        <w:sz w:val="16"/>
        <w:rFonts w:ascii="Times New Roman" w:hAnsi="Times New Roman"/>
      </w:rPr>
      <w:instrText xml:space="preserve"> NUMPAGES </w:instrText>
    </w:r>
    <w:r>
      <w:rPr>
        <w:sz w:val="16"/>
        <w:rFonts w:ascii="Times New Roman" w:hAnsi="Times New Roman"/>
      </w:rPr>
      <w:fldChar w:fldCharType="separate"/>
    </w:r>
    <w:r>
      <w:rPr>
        <w:sz w:val="16"/>
        <w:rFonts w:ascii="Times New Roman" w:hAnsi="Times New Roman"/>
      </w:rPr>
      <w:t>6</w:t>
    </w:r>
    <w:r>
      <w:rPr>
        <w:sz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</w:rPr>
      <w:t xml:space="preserve"> (ГПЗ № 23129-2)</w:t>
    </w:r>
  </w:p>
  <w:p>
    <w:pPr>
      <w:pStyle w:val="Normal"/>
      <w:rPr/>
    </w:pPr>
    <w:r>
      <w:rPr/>
    </w:r>
  </w:p>
  <w:p>
    <w:pPr>
      <w:pStyle w:val="Normal"/>
      <w:rPr/>
    </w:pPr>
    <w:r>
      <w:rPr/>
    </w:r>
  </w:p>
</w:ftr>
</file>

<file path=word/settings.xml><?xml version="1.0" encoding="utf-8"?>
<w:settings xmlns:w="http://schemas.openxmlformats.org/wordprocessingml/2006/main">
  <w:zoom w:percent="89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Tahoma" w:cs="Noto Sans Devanagari"/>
        <w:color w:val="000000"/>
        <w:sz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4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basedOn w:val="Normal"/>
    <w:next w:val="Normal"/>
    <w:uiPriority w:val="9"/>
    <w:qFormat/>
    <w:pPr>
      <w:keepNext w:val="true"/>
      <w:keepLines/>
      <w:spacing w:before="240" w:after="0"/>
      <w:outlineLvl w:val="0"/>
    </w:pPr>
    <w:rPr>
      <w:rFonts w:ascii="Times New Roman" w:hAnsi="Times New Roman"/>
      <w:b/>
      <w:i w:val="false"/>
      <w:color w:val="2F5496"/>
      <w:sz w:val="48"/>
    </w:rPr>
  </w:style>
  <w:style w:type="paragraph" w:styleId="2">
    <w:name w:val="Heading 2"/>
    <w:basedOn w:val="Normal"/>
    <w:next w:val="Normal"/>
    <w:uiPriority w:val="9"/>
    <w:qFormat/>
    <w:pPr>
      <w:keepNext w:val="true"/>
      <w:keepLines/>
      <w:spacing w:before="40" w:after="0"/>
      <w:outlineLvl w:val="1"/>
    </w:pPr>
    <w:rPr>
      <w:rFonts w:ascii="Times New Roman" w:hAnsi="Times New Roman"/>
      <w:b/>
      <w:i w:val="false"/>
      <w:color w:val="2F5496"/>
      <w:sz w:val="36"/>
    </w:rPr>
  </w:style>
  <w:style w:type="paragraph" w:styleId="3">
    <w:name w:val="Heading 3"/>
    <w:basedOn w:val="Normal"/>
    <w:next w:val="Normal"/>
    <w:uiPriority w:val="9"/>
    <w:qFormat/>
    <w:pPr>
      <w:keepNext w:val="true"/>
      <w:keepLines/>
      <w:spacing w:before="40" w:after="0"/>
      <w:outlineLvl w:val="2"/>
    </w:pPr>
    <w:rPr>
      <w:rFonts w:ascii="Times New Roman" w:hAnsi="Times New Roman"/>
      <w:b/>
      <w:i w:val="false"/>
      <w:color w:val="1F3763"/>
      <w:sz w:val="28"/>
    </w:rPr>
  </w:style>
  <w:style w:type="paragraph" w:styleId="4">
    <w:name w:val="Heading 4"/>
    <w:basedOn w:val="Normal"/>
    <w:next w:val="Normal"/>
    <w:uiPriority w:val="9"/>
    <w:qFormat/>
    <w:pPr>
      <w:keepNext w:val="true"/>
      <w:keepLines/>
      <w:spacing w:before="40" w:after="0"/>
      <w:outlineLvl w:val="3"/>
    </w:pPr>
    <w:rPr>
      <w:rFonts w:ascii="Times New Roman" w:hAnsi="Times New Roman"/>
      <w:b/>
      <w:i w:val="false"/>
      <w:color w:val="2F5496"/>
      <w:sz w:val="24"/>
    </w:rPr>
  </w:style>
  <w:style w:type="paragraph" w:styleId="5">
    <w:name w:val="Heading 5"/>
    <w:basedOn w:val="Normal"/>
    <w:next w:val="Normal"/>
    <w:uiPriority w:val="9"/>
    <w:qFormat/>
    <w:pPr>
      <w:keepNext w:val="true"/>
      <w:keepLines/>
      <w:spacing w:before="40" w:after="0"/>
      <w:outlineLvl w:val="4"/>
    </w:pPr>
    <w:rPr>
      <w:rFonts w:ascii="Times New Roman" w:hAnsi="Times New Roman"/>
      <w:b/>
      <w:i w:val="false"/>
      <w:color w:val="2F5496"/>
      <w:sz w:val="20"/>
    </w:rPr>
  </w:style>
  <w:style w:type="paragraph" w:styleId="6">
    <w:name w:val="Heading 6"/>
    <w:basedOn w:val="Normal"/>
    <w:next w:val="Normal"/>
    <w:uiPriority w:val="9"/>
    <w:qFormat/>
    <w:pPr>
      <w:keepNext w:val="true"/>
      <w:keepLines/>
      <w:spacing w:before="40" w:after="0"/>
      <w:outlineLvl w:val="5"/>
    </w:pPr>
    <w:rPr>
      <w:rFonts w:ascii="Times New Roman" w:hAnsi="Times New Roman"/>
      <w:b/>
      <w:i w:val="false"/>
      <w:color w:val="1F3763"/>
      <w:sz w:val="16"/>
    </w:rPr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PMsoBodyText">
    <w:name w:val="p_MsoBodyText"/>
    <w:basedOn w:val="P"/>
    <w:link w:val="PMsoBodyText1"/>
    <w:qFormat/>
    <w:rPr>
      <w:rFonts w:ascii="Arial" w:hAnsi="Arial"/>
      <w:sz w:val="24"/>
    </w:rPr>
  </w:style>
  <w:style w:type="character" w:styleId="Heading3">
    <w:name w:val="Heading 3"/>
    <w:qFormat/>
    <w:rPr>
      <w:rFonts w:ascii="Times New Roman" w:hAnsi="Times New Roman"/>
      <w:b/>
      <w:i w:val="false"/>
      <w:color w:val="1F3763"/>
      <w:sz w:val="28"/>
    </w:rPr>
  </w:style>
  <w:style w:type="character" w:styleId="PMsoNormal">
    <w:name w:val="p_MsoNormal"/>
    <w:basedOn w:val="P"/>
    <w:link w:val="PMsoNormal1"/>
    <w:qFormat/>
    <w:rPr>
      <w:rFonts w:ascii="Arial" w:hAnsi="Arial"/>
      <w:sz w:val="24"/>
    </w:rPr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PMsoListParagraph">
    <w:name w:val="p_MsoListParagraph"/>
    <w:basedOn w:val="P"/>
    <w:link w:val="PMsoListParagraph1"/>
    <w:qFormat/>
    <w:rPr>
      <w:rFonts w:ascii="Arial" w:hAnsi="Arial"/>
      <w:sz w:val="22"/>
    </w:rPr>
  </w:style>
  <w:style w:type="character" w:styleId="Heading5">
    <w:name w:val="Heading 5"/>
    <w:qFormat/>
    <w:rPr>
      <w:rFonts w:ascii="Times New Roman" w:hAnsi="Times New Roman"/>
      <w:b/>
      <w:i w:val="false"/>
      <w:color w:val="2F5496"/>
      <w:sz w:val="20"/>
    </w:rPr>
  </w:style>
  <w:style w:type="character" w:styleId="Heading1">
    <w:name w:val="Heading 1"/>
    <w:qFormat/>
    <w:rPr>
      <w:rFonts w:ascii="Times New Roman" w:hAnsi="Times New Roman"/>
      <w:b/>
      <w:i w:val="false"/>
      <w:color w:val="2F5496"/>
      <w:sz w:val="48"/>
    </w:rPr>
  </w:style>
  <w:style w:type="character" w:styleId="-">
    <w:name w:val="Hyperlink"/>
    <w:rPr>
      <w:color w:val="0000FF"/>
      <w:u w:val="single"/>
    </w:rPr>
  </w:style>
  <w:style w:type="character" w:styleId="Footnote">
    <w:name w:val="Footnote"/>
    <w:link w:val="Footnote1"/>
    <w:qFormat/>
    <w:rPr>
      <w:rFonts w:ascii="XO Thames" w:hAnsi="XO Thames"/>
      <w:sz w:val="22"/>
    </w:rPr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HeaderandFooter">
    <w:name w:val="Header and Footer"/>
    <w:qFormat/>
    <w:rPr>
      <w:rFonts w:ascii="XO Thames" w:hAnsi="XO Thames"/>
      <w:sz w:val="20"/>
    </w:rPr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DefaultParagraphFont">
    <w:name w:val="Default Paragraph Font"/>
    <w:link w:val="DefaultParagraphFont1"/>
    <w:qFormat/>
    <w:rPr/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P">
    <w:name w:val="p"/>
    <w:link w:val="P1"/>
    <w:qFormat/>
    <w:rPr>
      <w:rFonts w:ascii="Times New Roman" w:hAnsi="Times New Roman"/>
      <w:sz w:val="24"/>
    </w:rPr>
  </w:style>
  <w:style w:type="character" w:styleId="Subtitle">
    <w:name w:val="Subtitle"/>
    <w:qFormat/>
    <w:rPr>
      <w:rFonts w:ascii="XO Thames" w:hAnsi="XO Thames"/>
      <w:i/>
      <w:sz w:val="24"/>
    </w:rPr>
  </w:style>
  <w:style w:type="character" w:styleId="Title">
    <w:name w:val="Title"/>
    <w:qFormat/>
    <w:rPr>
      <w:rFonts w:ascii="XO Thames" w:hAnsi="XO Thames"/>
      <w:b/>
      <w:caps/>
      <w:sz w:val="40"/>
    </w:rPr>
  </w:style>
  <w:style w:type="character" w:styleId="SpanMsoHyperlink">
    <w:name w:val="span_MsoHyperlink"/>
    <w:basedOn w:val="DefaultParagraphFont"/>
    <w:link w:val="SpanMsoHyperlink1"/>
    <w:qFormat/>
    <w:rPr>
      <w:color w:val="0063A4"/>
    </w:rPr>
  </w:style>
  <w:style w:type="character" w:styleId="Heading4">
    <w:name w:val="Heading 4"/>
    <w:qFormat/>
    <w:rPr>
      <w:rFonts w:ascii="Times New Roman" w:hAnsi="Times New Roman"/>
      <w:b/>
      <w:i w:val="false"/>
      <w:color w:val="2F5496"/>
      <w:sz w:val="24"/>
    </w:rPr>
  </w:style>
  <w:style w:type="character" w:styleId="DivWordSection1">
    <w:name w:val="div_WordSection1"/>
    <w:link w:val="DivWordSection11"/>
    <w:qFormat/>
    <w:rPr/>
  </w:style>
  <w:style w:type="character" w:styleId="Heading2">
    <w:name w:val="Heading 2"/>
    <w:qFormat/>
    <w:rPr>
      <w:rFonts w:ascii="Times New Roman" w:hAnsi="Times New Roman"/>
      <w:b/>
      <w:i w:val="false"/>
      <w:color w:val="2F5496"/>
      <w:sz w:val="36"/>
    </w:rPr>
  </w:style>
  <w:style w:type="character" w:styleId="Heading6">
    <w:name w:val="Heading 6"/>
    <w:qFormat/>
    <w:rPr>
      <w:rFonts w:ascii="Times New Roman" w:hAnsi="Times New Roman"/>
      <w:b/>
      <w:i w:val="false"/>
      <w:color w:val="1F3763"/>
      <w:sz w:val="16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ascii="PT Astra Serif" w:hAnsi="PT Astra Serif" w:cs="Noto Sans Devanagari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21">
    <w:name w:val="TOC 2"/>
    <w:next w:val="Normal"/>
    <w:uiPriority w:val="39"/>
    <w:pPr>
      <w:widowControl/>
      <w:suppressAutoHyphens w:val="true"/>
      <w:bidi w:val="0"/>
      <w:spacing w:lineRule="auto" w:line="240" w:before="0" w:after="0"/>
      <w:ind w:left="2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41">
    <w:name w:val="TOC 4"/>
    <w:next w:val="Normal"/>
    <w:uiPriority w:val="39"/>
    <w:pPr>
      <w:widowControl/>
      <w:suppressAutoHyphens w:val="true"/>
      <w:bidi w:val="0"/>
      <w:spacing w:lineRule="auto" w:line="240" w:before="0" w:after="0"/>
      <w:ind w:left="6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61">
    <w:name w:val="TOC 6"/>
    <w:next w:val="Normal"/>
    <w:uiPriority w:val="39"/>
    <w:pPr>
      <w:widowControl/>
      <w:suppressAutoHyphens w:val="true"/>
      <w:bidi w:val="0"/>
      <w:spacing w:lineRule="auto" w:line="240" w:before="0" w:after="0"/>
      <w:ind w:left="10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7">
    <w:name w:val="TOC 7"/>
    <w:next w:val="Normal"/>
    <w:uiPriority w:val="39"/>
    <w:pPr>
      <w:widowControl/>
      <w:suppressAutoHyphens w:val="true"/>
      <w:bidi w:val="0"/>
      <w:spacing w:lineRule="auto" w:line="240" w:before="0" w:after="0"/>
      <w:ind w:left="12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PMsoBodyText1">
    <w:name w:val="p_MsoBodyText"/>
    <w:basedOn w:val="P1"/>
    <w:link w:val="PMsoBodyText"/>
    <w:qFormat/>
    <w:pPr>
      <w:jc w:val="both"/>
    </w:pPr>
    <w:rPr>
      <w:rFonts w:ascii="Arial" w:hAnsi="Arial"/>
      <w:sz w:val="24"/>
    </w:rPr>
  </w:style>
  <w:style w:type="paragraph" w:styleId="PMsoNormal1">
    <w:name w:val="p_MsoNormal"/>
    <w:basedOn w:val="P1"/>
    <w:link w:val="PMsoNormal"/>
    <w:qFormat/>
    <w:pPr>
      <w:jc w:val="both"/>
    </w:pPr>
    <w:rPr>
      <w:rFonts w:ascii="Arial" w:hAnsi="Arial"/>
      <w:sz w:val="24"/>
    </w:rPr>
  </w:style>
  <w:style w:type="paragraph" w:styleId="31">
    <w:name w:val="TOC 3"/>
    <w:next w:val="Normal"/>
    <w:uiPriority w:val="39"/>
    <w:pPr>
      <w:widowControl/>
      <w:suppressAutoHyphens w:val="true"/>
      <w:bidi w:val="0"/>
      <w:spacing w:lineRule="auto" w:line="240" w:before="0" w:after="0"/>
      <w:ind w:left="4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PMsoListParagraph1">
    <w:name w:val="p_MsoListParagraph"/>
    <w:basedOn w:val="P1"/>
    <w:link w:val="PMsoListParagraph"/>
    <w:qFormat/>
    <w:pPr/>
    <w:rPr>
      <w:rFonts w:ascii="Arial" w:hAnsi="Arial"/>
      <w:sz w:val="22"/>
    </w:rPr>
  </w:style>
  <w:style w:type="paragraph" w:styleId="Internetlink">
    <w:name w:val="Internet link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"/>
    <w:link w:val="Footnote"/>
    <w:qFormat/>
    <w:pPr>
      <w:widowControl/>
      <w:suppressAutoHyphens w:val="true"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next w:val="Normal"/>
    <w:uiPriority w:val="39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yle13">
    <w:name w:val="Колонтитул"/>
    <w:qFormat/>
    <w:pPr>
      <w:widowControl/>
      <w:suppressAutoHyphens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next w:val="Normal"/>
    <w:uiPriority w:val="39"/>
    <w:pPr>
      <w:widowControl/>
      <w:suppressAutoHyphens w:val="true"/>
      <w:bidi w:val="0"/>
      <w:spacing w:lineRule="auto" w:line="240" w:before="0" w:after="0"/>
      <w:ind w:left="16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8">
    <w:name w:val="TOC 8"/>
    <w:next w:val="Normal"/>
    <w:uiPriority w:val="39"/>
    <w:pPr>
      <w:widowControl/>
      <w:suppressAutoHyphens w:val="true"/>
      <w:bidi w:val="0"/>
      <w:spacing w:lineRule="auto" w:line="240" w:before="0" w:after="0"/>
      <w:ind w:left="14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DefaultParagraphFont1">
    <w:name w:val="Default Paragraph Font"/>
    <w:link w:val="DefaultParagraphFont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51">
    <w:name w:val="TOC 5"/>
    <w:next w:val="Normal"/>
    <w:uiPriority w:val="39"/>
    <w:pPr>
      <w:widowControl/>
      <w:suppressAutoHyphens w:val="true"/>
      <w:bidi w:val="0"/>
      <w:spacing w:lineRule="auto" w:line="240" w:before="0" w:after="0"/>
      <w:ind w:left="8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P1">
    <w:name w:val="p"/>
    <w:basedOn w:val="Normal"/>
    <w:link w:val="P"/>
    <w:qFormat/>
    <w:pPr/>
    <w:rPr>
      <w:rFonts w:ascii="Times New Roman" w:hAnsi="Times New Roman"/>
      <w:sz w:val="24"/>
    </w:rPr>
  </w:style>
  <w:style w:type="paragraph" w:styleId="Style14">
    <w:name w:val="Subtitle"/>
    <w:next w:val="Normal"/>
    <w:uiPriority w:val="11"/>
    <w:qFormat/>
    <w:pPr>
      <w:widowControl/>
      <w:suppressAutoHyphens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Tahoma" w:cs="Noto Sans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Style15">
    <w:name w:val="Title"/>
    <w:next w:val="Normal"/>
    <w:uiPriority w:val="10"/>
    <w:qFormat/>
    <w:pPr>
      <w:widowControl/>
      <w:suppressAutoHyphens w:val="true"/>
      <w:bidi w:val="0"/>
      <w:spacing w:lineRule="auto" w:line="240" w:before="567" w:after="567"/>
      <w:ind w:left="0" w:right="0" w:hanging="0"/>
      <w:jc w:val="center"/>
    </w:pPr>
    <w:rPr>
      <w:rFonts w:ascii="XO Thames" w:hAnsi="XO Thames" w:eastAsia="Tahoma" w:cs="Noto Sans Devanagari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SpanMsoHyperlink1">
    <w:name w:val="span_MsoHyperlink"/>
    <w:basedOn w:val="DefaultParagraphFont1"/>
    <w:link w:val="SpanMsoHyperlink"/>
    <w:qFormat/>
    <w:pPr/>
    <w:rPr>
      <w:color w:val="0063A4"/>
    </w:rPr>
  </w:style>
  <w:style w:type="paragraph" w:styleId="DivWordSection11">
    <w:name w:val="div_WordSection1"/>
    <w:basedOn w:val="Normal"/>
    <w:link w:val="DivWordSection1"/>
    <w:qFormat/>
    <w:pPr/>
    <w:rPr/>
  </w:style>
  <w:style w:type="paragraph" w:styleId="Style16">
    <w:name w:val="Footer"/>
    <w:basedOn w:val="Style13"/>
    <w:pPr/>
    <w:rPr/>
  </w:style>
  <w:style w:type="table" w:default="1" w:styleId="Style_3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Style_3">
    <w:name w:val="MsoNormalTable"/>
    <w:basedOn w:val="Style_31"/>
  </w:style>
  <w:style w:type="table" w:styleId="Style_4">
    <w:name w:val="MsoTableGrid"/>
    <w:basedOn w:val="Style_31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LibreOffice/7.5.6.2$Linux_X86_64 LibreOffice_project/50$Build-2</Application>
  <AppVersion>15.0000</AppVersion>
  <Pages>6</Pages>
  <Words>978</Words>
  <Characters>6866</Characters>
  <CharactersWithSpaces>7806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2025-01-22T14:21:00Z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