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б/н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преддоговорных переговоров (изменений условий договора) по итогам закупки на право заключения договора на Поставку спецодежды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4900" w:type="pct"/>
        <w:jc w:val="left"/>
        <w:tblInd w:w="-1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637"/>
        <w:gridCol w:w="5196"/>
      </w:tblGrid>
      <w:tr>
        <w:trPr/>
        <w:tc>
          <w:tcPr>
            <w:tcW w:w="4637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г. Железногорск</w:t>
            </w:r>
          </w:p>
          <w:p>
            <w:pPr>
              <w:pStyle w:val="Style26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Красноярский край</w:t>
            </w:r>
          </w:p>
        </w:tc>
        <w:tc>
          <w:tcPr>
            <w:tcW w:w="5196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дата подписания протокола «08» апреля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"Автотранспортное предприятие Горно-химического комбината".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«АТП ГХК».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Предмет закупки: право заключения договора на Поставку спецодежды.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Состав и объем поставки: все необходимые сведения приведены в Томе 2 извещении о проведении запроса котировок (закупочной документации).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>Срок поставки товара: поставка Товара осуществляется партиями: в течение года после заключения договора, по отдельным заявкам Покупателя. Поставка партии осуществляется в рамках заключенного договора в течение 14 календарных дней, с момента подачи заявки Поставщику, с правом досрочной поставки по согласованию с Покупателем.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 w:eastAsiaTheme="minorHAnsi"/>
          <w:b/>
          <w:iCs/>
          <w:sz w:val="28"/>
          <w:szCs w:val="28"/>
        </w:rPr>
        <w:t>700 401</w:t>
      </w:r>
      <w:r>
        <w:rPr>
          <w:rFonts w:eastAsia="Calibri" w:ascii="Times New Roman" w:hAnsi="Times New Roman" w:eastAsiaTheme="minorHAnsi"/>
          <w:b/>
          <w:sz w:val="28"/>
          <w:szCs w:val="28"/>
        </w:rPr>
        <w:t xml:space="preserve"> (Семьсот тысяч четыреста один) рубл</w:t>
      </w:r>
      <w:r>
        <w:rPr>
          <w:rFonts w:eastAsia="Calibri" w:ascii="Times New Roman" w:hAnsi="Times New Roman" w:eastAsiaTheme="minorHAnsi"/>
          <w:b/>
          <w:iCs/>
          <w:sz w:val="28"/>
          <w:szCs w:val="28"/>
        </w:rPr>
        <w:t>ь 02 копей</w:t>
      </w:r>
      <w:r>
        <w:rPr>
          <w:rFonts w:eastAsia="Calibri" w:ascii="Times New Roman" w:hAnsi="Times New Roman" w:eastAsiaTheme="minorHAnsi"/>
          <w:b/>
          <w:sz w:val="28"/>
          <w:szCs w:val="28"/>
        </w:rPr>
        <w:t>к</w:t>
      </w:r>
      <w:r>
        <w:rPr>
          <w:rFonts w:eastAsia="Calibri" w:ascii="Times New Roman" w:hAnsi="Times New Roman" w:eastAsiaTheme="minorHAnsi"/>
          <w:b/>
          <w:iCs/>
          <w:sz w:val="28"/>
          <w:szCs w:val="28"/>
        </w:rPr>
        <w:t>и</w:t>
      </w:r>
      <w:r>
        <w:rPr>
          <w:rFonts w:eastAsia="Calibri" w:ascii="Times New Roman" w:hAnsi="Times New Roman" w:eastAsiaTheme="minorHAnsi"/>
          <w:sz w:val="28"/>
          <w:szCs w:val="28"/>
        </w:rPr>
        <w:t>, с учетом налогов и сборов.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921"/>
        <w:gridCol w:w="6382"/>
        <w:gridCol w:w="2732"/>
      </w:tblGrid>
      <w:tr>
        <w:trPr/>
        <w:tc>
          <w:tcPr>
            <w:tcW w:w="9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п/п </w:t>
            </w:r>
          </w:p>
        </w:tc>
        <w:tc>
          <w:tcPr>
            <w:tcW w:w="6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Наименование продукции</w:t>
            </w:r>
          </w:p>
        </w:tc>
        <w:tc>
          <w:tcPr>
            <w:tcW w:w="27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общих производственных загрязнений и механических воздействий (истирания)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3 491,40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Костюм для защиты от пониженных температур и ветра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6 465,60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термических рисков электрической дуги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15 003,00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Белье нательное термостойкое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2 970,00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утепленный для защиты от термических рисков электрической дуги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29 933,20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сигнальный повышенной видимости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5 868,00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Костюм сигнальный повышенной видимости утепленный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8 465,40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растворов кислот и щелочей с головным убором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3 698,40</w:t>
            </w:r>
          </w:p>
        </w:tc>
      </w:tr>
      <w:tr>
        <w:trPr/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утепленный для защиты от растворов кислот и щелочей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9 486,40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 w:before="0" w:after="20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искр и брызг расплавленного металла, металлической окалины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4 324,80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Костюм утепленный для защиты от искр и брызг расплавленного металла, металлической окалины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7 099,20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воды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2 642,80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Плащ для защиты от воды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1 721,60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Жилет сигнальный повышенной видимости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505,20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Жилет сигнальный повышенной видимости огнестойкий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3 135,60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Фартук для защиты от растворов кислот или щелочей, нефтепродуктов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842,40</w:t>
            </w:r>
          </w:p>
        </w:tc>
      </w:tr>
      <w:tr>
        <w:trPr>
          <w:trHeight w:val="70" w:hRule="atLeast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Spacing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Фартук для защиты от искр и брызг расплавленного металла, металлической окалины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2 124,60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«24» марта 2025 года на официальном государственном сайте </w:t>
      </w:r>
      <w:hyperlink r:id="rId2">
        <w:r>
          <w:rPr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Fonts w:ascii="Times New Roman" w:hAnsi="Times New Roman"/>
            <w:sz w:val="28"/>
            <w:szCs w:val="28"/>
          </w:rPr>
          <w:t>://</w:t>
        </w:r>
        <w:r>
          <w:rPr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gov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32514648288, на официальном сайте по закупкам атомной отрасли </w:t>
      </w:r>
      <w:hyperlink r:id="rId3">
        <w:r>
          <w:rPr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Fonts w:ascii="Times New Roman" w:hAnsi="Times New Roman"/>
            <w:sz w:val="28"/>
            <w:szCs w:val="28"/>
          </w:rPr>
          <w:t>://</w:t>
        </w:r>
        <w:r>
          <w:rPr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rosatom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63984, на ЭТП АО «ЭТС» НЭП  закупка № 32514648288.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поставки,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 поставки товара, учетом данных преддоговорных переговоров.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>
        <w:rPr>
          <w:rFonts w:ascii="Times New Roman" w:hAnsi="Times New Roman"/>
          <w:sz w:val="28"/>
          <w:szCs w:val="28"/>
        </w:rPr>
        <w:t>участника закупки</w:t>
      </w:r>
      <w:r>
        <w:rPr>
          <w:rFonts w:ascii="Times New Roman" w:hAnsi="Times New Roman"/>
          <w:bCs/>
          <w:sz w:val="28"/>
        </w:rPr>
        <w:t xml:space="preserve"> составляет </w:t>
      </w:r>
      <w:r>
        <w:rPr>
          <w:rFonts w:eastAsia="Calibri" w:ascii="Times New Roman" w:hAnsi="Times New Roman" w:eastAsiaTheme="minorHAnsi"/>
          <w:sz w:val="28"/>
          <w:szCs w:val="28"/>
        </w:rPr>
        <w:t>600 206 (Шестьсот тысяч двести шесть) рублей 40 копеек, в т.ч. НДС – 20%.</w:t>
      </w:r>
      <w:r>
        <w:rPr>
          <w:rFonts w:ascii="Times New Roman" w:hAnsi="Times New Roman"/>
          <w:bCs/>
          <w:sz w:val="28"/>
        </w:rPr>
        <w:t xml:space="preserve"> </w:t>
      </w:r>
      <w:r>
        <w:rPr>
          <w:rFonts w:eastAsia="Calibri" w:ascii="Times New Roman" w:hAnsi="Times New Roman" w:eastAsiaTheme="minorHAnsi"/>
          <w:bCs/>
          <w:sz w:val="28"/>
          <w:szCs w:val="28"/>
        </w:rPr>
        <w:t xml:space="preserve">Цена за 1 единицу по каждому наименованию товара, предложенная </w:t>
      </w:r>
      <w:r>
        <w:rPr>
          <w:rFonts w:eastAsia="Calibri" w:ascii="Times New Roman" w:hAnsi="Times New Roman" w:eastAsiaTheme="minorHAnsi"/>
          <w:sz w:val="28"/>
          <w:szCs w:val="28"/>
        </w:rPr>
        <w:t>ООО ГК "Меланжист", не превышает НМЦ единицы продукции, установленной Закупочной документацией.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«07» апреля 2025 года, по адресу: г. Железногорск, ул. Ленина 71А.</w:t>
      </w:r>
    </w:p>
    <w:p>
      <w:pPr>
        <w:pStyle w:val="Normal"/>
        <w:numPr>
          <w:ilvl w:val="0"/>
          <w:numId w:val="0"/>
        </w:numPr>
        <w:spacing w:before="120" w:after="0"/>
        <w:outlineLvl w:val="0"/>
        <w:rPr>
          <w:rFonts w:ascii="Times New Roman" w:hAnsi="Times New Roman"/>
          <w:b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jc w:val="left"/>
        <w:tblInd w:w="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noVBand="1" w:val="04a0" w:noHBand="0" w:lastColumn="0" w:firstColumn="1" w:lastRow="0" w:firstRow="1"/>
      </w:tblPr>
      <w:tblGrid>
        <w:gridCol w:w="4945"/>
        <w:gridCol w:w="5089"/>
      </w:tblGrid>
      <w:tr>
        <w:trPr/>
        <w:tc>
          <w:tcPr>
            <w:tcW w:w="4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ФИО 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Представители заказчика</w:t>
            </w:r>
          </w:p>
        </w:tc>
      </w:tr>
      <w:tr>
        <w:trPr/>
        <w:tc>
          <w:tcPr>
            <w:tcW w:w="4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Речкин Олег Борисович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Директор ООО «АТП ГХК»</w:t>
            </w:r>
          </w:p>
        </w:tc>
      </w:tr>
      <w:tr>
        <w:trPr/>
        <w:tc>
          <w:tcPr>
            <w:tcW w:w="10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Представители победителя закупки</w:t>
            </w:r>
          </w:p>
        </w:tc>
      </w:tr>
      <w:tr>
        <w:trPr/>
        <w:tc>
          <w:tcPr>
            <w:tcW w:w="4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Игнатик Александр Викторович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Директор ООО ГК «Меланжист»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Преддоговорные переговоры проводятся в соответствии с подпунктом, </w:t>
      </w:r>
      <w:r>
        <w:rPr>
          <w:rFonts w:ascii="Times New Roman" w:hAnsi="Times New Roman"/>
          <w:b/>
          <w:i/>
        </w:rPr>
        <w:t>а) части</w:t>
      </w:r>
      <w:r>
        <w:rPr>
          <w:rFonts w:ascii="Times New Roman" w:hAnsi="Times New Roman"/>
          <w:sz w:val="28"/>
        </w:rPr>
        <w:t xml:space="preserve"> 2 статьи 9.3 ЕОСЗ в редакции</w:t>
      </w:r>
      <w:r>
        <w:rPr>
          <w:rFonts w:ascii="Times New Roman" w:hAnsi="Times New Roman"/>
          <w:bCs/>
          <w:sz w:val="28"/>
        </w:rPr>
        <w:t xml:space="preserve">, указанной в </w:t>
      </w:r>
      <w:r>
        <w:rPr>
          <w:rFonts w:ascii="Times New Roman" w:hAnsi="Times New Roman"/>
          <w:sz w:val="28"/>
          <w:szCs w:val="28"/>
        </w:rPr>
        <w:t xml:space="preserve">извещении о проведении закупки (закупочной документации), </w:t>
      </w:r>
      <w:r>
        <w:rPr>
          <w:rFonts w:ascii="Times New Roman" w:hAnsi="Times New Roman"/>
          <w:bCs/>
          <w:sz w:val="28"/>
        </w:rPr>
        <w:t xml:space="preserve">и </w:t>
      </w:r>
      <w:r>
        <w:rPr>
          <w:rFonts w:ascii="Times New Roman" w:hAnsi="Times New Roman"/>
          <w:sz w:val="28"/>
        </w:rPr>
        <w:t xml:space="preserve">разделом 8 части 2 тома 1 </w:t>
      </w:r>
      <w:r>
        <w:rPr>
          <w:rFonts w:ascii="Times New Roman" w:hAnsi="Times New Roman"/>
          <w:sz w:val="28"/>
          <w:szCs w:val="28"/>
        </w:rPr>
        <w:t xml:space="preserve">извещения о проведении закупки (закупочной документации). 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По результатам преддоговорных переговоров достигнуты следующие договоренности: Стороны пришли к соглашению подписать договор по стоимости ценового предложения, поданного ООО ГК «Меланжист»,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в составе заявки </w:t>
      </w:r>
      <w:r>
        <w:rPr>
          <w:rFonts w:ascii="Times New Roman" w:hAnsi="Times New Roman"/>
          <w:sz w:val="28"/>
          <w:szCs w:val="28"/>
        </w:rPr>
        <w:t xml:space="preserve">на ЭТП АО «ЭТС» НЭП закупка № 32514648288 в сумме </w:t>
      </w:r>
      <w:r>
        <w:rPr>
          <w:rFonts w:eastAsia="Calibri" w:ascii="Times New Roman" w:hAnsi="Times New Roman" w:eastAsiaTheme="minorHAnsi"/>
          <w:sz w:val="28"/>
          <w:szCs w:val="28"/>
        </w:rPr>
        <w:t>600 206 (Шестьсот тысяч двести шесть) рублей 40 копеек, в т.ч. НДС – 20%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Остальные условия договора остаются без изменений.</w:t>
      </w:r>
    </w:p>
    <w:tbl>
      <w:tblPr>
        <w:tblStyle w:val="af9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4379"/>
        <w:gridCol w:w="5655"/>
      </w:tblGrid>
      <w:tr>
        <w:trPr/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kern w:val="0"/>
                <w:lang w:val="ru-RU" w:bidi="ar-SA"/>
              </w:rPr>
              <w:t xml:space="preserve">ФИО </w:t>
            </w:r>
          </w:p>
        </w:tc>
        <w:tc>
          <w:tcPr>
            <w:tcW w:w="5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/>
              <w:spacing w:before="0" w:after="0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kern w:val="0"/>
                <w:lang w:val="ru-RU" w:bidi="ar-SA"/>
              </w:rPr>
              <w:t xml:space="preserve">Должность </w:t>
            </w:r>
          </w:p>
        </w:tc>
      </w:tr>
      <w:tr>
        <w:trPr>
          <w:trHeight w:val="437" w:hRule="atLeast"/>
        </w:trPr>
        <w:tc>
          <w:tcPr>
            <w:tcW w:w="10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/>
              <w:spacing w:before="0" w:after="0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  <w:kern w:val="0"/>
                <w:lang w:val="ru-RU" w:bidi="ar-SA"/>
              </w:rPr>
              <w:t>Представители заказчика</w:t>
            </w:r>
          </w:p>
        </w:tc>
      </w:tr>
      <w:tr>
        <w:trPr>
          <w:trHeight w:val="427" w:hRule="atLeast"/>
        </w:trPr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/>
              <w:spacing w:before="0" w:after="0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  <w:kern w:val="0"/>
                <w:lang w:val="ru-RU" w:bidi="ar-SA"/>
              </w:rPr>
              <w:t>Речкин Олег Борисович</w:t>
            </w:r>
          </w:p>
        </w:tc>
        <w:tc>
          <w:tcPr>
            <w:tcW w:w="5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/>
              <w:spacing w:before="0" w:after="0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  <w:kern w:val="0"/>
                <w:lang w:val="ru-RU" w:bidi="ar-SA"/>
              </w:rPr>
              <w:t>Директор ООО «АТП ГХК»</w:t>
            </w:r>
          </w:p>
        </w:tc>
      </w:tr>
      <w:tr>
        <w:trPr>
          <w:trHeight w:val="420" w:hRule="atLeast"/>
        </w:trPr>
        <w:tc>
          <w:tcPr>
            <w:tcW w:w="10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/>
              <w:spacing w:before="0" w:after="0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  <w:kern w:val="0"/>
                <w:lang w:val="ru-RU" w:bidi="ar-SA"/>
              </w:rPr>
              <w:t>Представители победителя закупки</w:t>
            </w:r>
          </w:p>
        </w:tc>
      </w:tr>
      <w:tr>
        <w:trPr>
          <w:trHeight w:val="412" w:hRule="atLeast"/>
        </w:trPr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/>
              <w:spacing w:before="0" w:after="0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  <w:kern w:val="0"/>
                <w:lang w:val="ru-RU" w:bidi="ar-SA"/>
              </w:rPr>
              <w:t>Игнатик Александр Викторович</w:t>
            </w:r>
          </w:p>
        </w:tc>
        <w:tc>
          <w:tcPr>
            <w:tcW w:w="5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/>
              <w:spacing w:before="0" w:after="0"/>
              <w:jc w:val="left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  <w:kern w:val="0"/>
                <w:lang w:val="ru-RU" w:bidi="ar-SA"/>
              </w:rPr>
              <w:t>Директор ООО ГК «Меланжист»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/>
          <w:bCs/>
          <w:sz w:val="28"/>
        </w:rPr>
      </w:pPr>
      <w:r>
        <w:rPr/>
      </w:r>
    </w:p>
    <w:sectPr>
      <w:footerReference w:type="default" r:id="rId4"/>
      <w:type w:val="nextPage"/>
      <w:pgSz w:w="11906" w:h="16838"/>
      <w:pgMar w:left="1134" w:right="737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2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б/н преддоговорных переговоров (изменений условий договора) по итогам закупки на право заключения договора на Поставку спецодежды</w:t>
    </w:r>
  </w:p>
  <w:sdt>
    <w:sdtPr>
      <w:docPartObj>
        <w:docPartGallery w:val="Page Numbers (Top of Page)"/>
        <w:docPartUnique w:val="true"/>
      </w:docPartObj>
      <w:id w:val="1233939987"/>
    </w:sdtPr>
    <w:sdtContent>
      <w:p>
        <w:pPr>
          <w:pStyle w:val="Style32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2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32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1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Посещённая гиперссылка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6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link w:val="a8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link w:val="aa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link w:val="ac"/>
    <w:uiPriority w:val="99"/>
    <w:semiHidden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Схема документа Знак"/>
    <w:basedOn w:val="DefaultParagraphFont"/>
    <w:link w:val="ae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1" w:customStyle="1">
    <w:name w:val="Тема примечания Знак"/>
    <w:basedOn w:val="Style16"/>
    <w:link w:val="af0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2" w:customStyle="1">
    <w:name w:val="Текст выноски Знак"/>
    <w:basedOn w:val="DefaultParagraphFont"/>
    <w:link w:val="af2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3" w:customStyle="1">
    <w:name w:val="Абзац списка Знак"/>
    <w:link w:val="af5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4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6">
    <w:name w:val="Body Text"/>
    <w:basedOn w:val="Normal"/>
    <w:link w:val="ad"/>
    <w:uiPriority w:val="99"/>
    <w:semiHidden/>
    <w:unhideWhenUsed/>
    <w:pPr>
      <w:spacing w:before="0" w:after="160"/>
    </w:pPr>
    <w:rPr/>
  </w:style>
  <w:style w:type="paragraph" w:styleId="Style27">
    <w:name w:val="List"/>
    <w:basedOn w:val="Style26"/>
    <w:pPr/>
    <w:rPr>
      <w:rFonts w:ascii="PT Astra Serif" w:hAnsi="PT Astra Serif" w:cs="Noto Sans Devanagari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a7"/>
    <w:uiPriority w:val="99"/>
    <w:semiHidden/>
    <w:unhideWhenUsed/>
    <w:qFormat/>
    <w:pPr/>
    <w:rPr>
      <w:sz w:val="20"/>
      <w:szCs w:val="20"/>
    </w:rPr>
  </w:style>
  <w:style w:type="paragraph" w:styleId="Style30">
    <w:name w:val="Верхний и нижний колонтитулы"/>
    <w:basedOn w:val="Normal"/>
    <w:qFormat/>
    <w:pPr/>
    <w:rPr/>
  </w:style>
  <w:style w:type="paragraph" w:styleId="Style31">
    <w:name w:val="Header"/>
    <w:basedOn w:val="Normal"/>
    <w:link w:val="a9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link w:val="ab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af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af1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af3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af4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3" w:customStyle="1">
    <w:name w:val="* С выравниванием по левому краю"/>
    <w:uiPriority w:val="99"/>
    <w:semiHidden/>
    <w:qFormat/>
    <w:pPr>
      <w:widowControl w:val="fals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eastAsia="ru-RU" w:val="ru-RU" w:bidi="ar-SA"/>
    </w:rPr>
  </w:style>
  <w:style w:type="paragraph" w:styleId="NoSpacing">
    <w:name w:val="No Spacing"/>
    <w:uiPriority w:val="1"/>
    <w:qFormat/>
    <w:rsid w:val="00dd171a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Grid Table Light"/>
    <w:basedOn w:val="a1"/>
    <w:uiPriority w:val="40"/>
    <w:rsid w:val="008b5d20"/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36B17-751C-4D4E-AEB9-975EB8EED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Application>LibreOffice/7.0.6.2$Linux_X86_64 LibreOffice_project/00$Build-2</Application>
  <AppVersion>15.0000</AppVersion>
  <Pages>5</Pages>
  <Words>628</Words>
  <Characters>4075</Characters>
  <CharactersWithSpaces>4620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2024-03-18T06:48:00Z</dcterms:created>
  <dc:creator>ss</dc:creator>
  <dc:description/>
  <dc:language>ru-RU</dc:language>
  <cp:lastModifiedBy>user</cp:lastModifiedBy>
  <dcterms:modified xsi:type="dcterms:W3CDTF">2025-04-08T09:03:00Z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