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  <w:r>
        <w:rPr>
          <w:rFonts w:ascii="Times New Roman" w:hAnsi="Times New Roman"/>
          <w:b/>
          <w:bCs/>
        </w:rPr>
        <w:t xml:space="preserve">ПРОТОКОЛ № </w:t>
      </w:r>
      <w:r>
        <w:rPr>
          <w:rFonts w:ascii="Times New Roman" w:hAnsi="Times New Roman"/>
          <w:b/>
          <w:bCs/>
        </w:rPr>
        <w:t>32515014978</w:t>
      </w:r>
      <w:r>
        <w:rPr>
          <w:rFonts w:ascii="Times New Roman" w:hAnsi="Times New Roman"/>
          <w:b/>
          <w:bCs/>
          <w:shd w:fill="auto" w:val="clear"/>
        </w:rPr>
        <w:t>/1</w:t>
      </w:r>
    </w:p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highlight w:val="none"/>
          <w:shd w:fill="auto" w:val="clear"/>
        </w:rPr>
      </w:pPr>
      <w:r>
        <w:rPr>
          <w:rFonts w:ascii="Times New Roman" w:hAnsi="Times New Roman"/>
          <w:b/>
          <w:bCs/>
          <w:shd w:fill="auto" w:val="clear"/>
        </w:rPr>
        <w:t>заседания закупочной комиссии по подведению итогов закупки</w:t>
      </w:r>
    </w:p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highlight w:val="none"/>
          <w:shd w:fill="auto" w:val="clear"/>
        </w:rPr>
      </w:pPr>
      <w:r>
        <w:rPr>
          <w:rFonts w:ascii="Times New Roman" w:hAnsi="Times New Roman"/>
          <w:b/>
          <w:bCs/>
          <w:shd w:fill="auto" w:val="clear"/>
        </w:rPr>
        <w:t xml:space="preserve">на право заключения договора на </w:t>
      </w:r>
      <w:r>
        <w:rPr>
          <w:rFonts w:ascii="Tinos" w:hAnsi="Tinos"/>
          <w:b/>
          <w:bCs/>
          <w:i w:val="false"/>
          <w:iCs w:val="false"/>
          <w:color w:val="000000"/>
          <w:spacing w:val="-6"/>
          <w:sz w:val="24"/>
          <w:szCs w:val="24"/>
          <w:shd w:fill="auto" w:val="clear"/>
        </w:rPr>
        <w:t>о</w:t>
      </w:r>
      <w:r>
        <w:rPr>
          <w:rFonts w:eastAsia="Times New Roman" w:cs="Times New Roman" w:ascii="Tinos" w:hAnsi="Tinos"/>
          <w:b/>
          <w:bCs/>
          <w:i w:val="false"/>
          <w:iCs w:val="false"/>
          <w:color w:val="000000"/>
          <w:spacing w:val="-6"/>
          <w:sz w:val="24"/>
          <w:szCs w:val="24"/>
          <w:shd w:fill="auto" w:val="clear"/>
          <w:lang w:eastAsia="ru-RU"/>
        </w:rPr>
        <w:t xml:space="preserve">казание услуг по </w:t>
      </w:r>
      <w:r>
        <w:rPr>
          <w:rFonts w:eastAsia="Times New Roman" w:cs="Times New Roman" w:ascii="Tinos" w:hAnsi="Tinos"/>
          <w:b/>
          <w:bCs/>
          <w:i w:val="false"/>
          <w:iCs w:val="false"/>
          <w:color w:val="000000"/>
          <w:sz w:val="24"/>
          <w:szCs w:val="24"/>
          <w:shd w:fill="auto" w:val="clear"/>
          <w:lang w:eastAsia="ru-RU"/>
        </w:rPr>
        <w:t xml:space="preserve">текущему ремонту электрооборудования </w:t>
      </w:r>
      <w:r>
        <w:rPr>
          <w:rFonts w:ascii="Tinos" w:hAnsi="Tinos"/>
          <w:b/>
          <w:bCs/>
          <w:i w:val="false"/>
          <w:iCs w:val="false"/>
          <w:color w:val="000000"/>
          <w:sz w:val="24"/>
          <w:szCs w:val="24"/>
          <w:shd w:fill="auto" w:val="clear"/>
          <w:lang w:eastAsia="ru-RU"/>
        </w:rPr>
        <w:t xml:space="preserve">для нужд службы общественного питания </w:t>
      </w:r>
      <w:r>
        <w:rPr>
          <w:rFonts w:eastAsia="Times New Roman" w:cs="Times New Roman" w:ascii="Tinos" w:hAnsi="Tinos"/>
          <w:b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6"/>
          <w:sz w:val="24"/>
          <w:szCs w:val="24"/>
          <w:u w:val="none"/>
          <w:shd w:fill="auto" w:val="clear"/>
          <w:em w:val="none"/>
          <w:lang w:eastAsia="ru-RU"/>
        </w:rPr>
        <w:t>ООО «Кольская АЭС-Авто»</w:t>
      </w:r>
    </w:p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bCs/>
          <w:highlight w:val="none"/>
          <w:shd w:fill="auto" w:val="clear"/>
        </w:rPr>
      </w:pPr>
      <w:r>
        <w:rPr>
          <w:rFonts w:ascii="Times New Roman" w:hAnsi="Times New Roman"/>
          <w:b/>
          <w:bCs/>
          <w:shd w:fill="auto" w:val="clear"/>
        </w:rPr>
      </w:r>
    </w:p>
    <w:tbl>
      <w:tblPr>
        <w:tblW w:w="1003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2774"/>
        <w:gridCol w:w="7260"/>
      </w:tblGrid>
      <w:tr>
        <w:trPr/>
        <w:tc>
          <w:tcPr>
            <w:tcW w:w="2774" w:type="dxa"/>
            <w:tcBorders/>
          </w:tcPr>
          <w:p>
            <w:pPr>
              <w:pStyle w:val="Normal"/>
              <w:keepLines w:val="false"/>
              <w:widowControl w:val="false"/>
              <w:spacing w:lineRule="auto" w:line="276"/>
              <w:jc w:val="left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Cs/>
                <w:shd w:fill="auto" w:val="clear"/>
                <w:lang w:eastAsia="en-US"/>
              </w:rPr>
              <w:t>г. Полярные Зори</w:t>
            </w:r>
          </w:p>
        </w:tc>
        <w:tc>
          <w:tcPr>
            <w:tcW w:w="7260" w:type="dxa"/>
            <w:tcBorders/>
          </w:tcPr>
          <w:p>
            <w:pPr>
              <w:pStyle w:val="Normal"/>
              <w:keepLines w:val="false"/>
              <w:widowControl w:val="false"/>
              <w:spacing w:lineRule="auto" w:line="276"/>
              <w:jc w:val="right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Cs/>
                <w:shd w:fill="auto" w:val="clear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hd w:fill="auto" w:val="clear"/>
                <w:lang w:eastAsia="en-US"/>
              </w:rPr>
              <w:t>«</w:t>
            </w:r>
            <w:r>
              <w:rPr>
                <w:rFonts w:ascii="Times New Roman" w:hAnsi="Times New Roman"/>
                <w:bCs/>
                <w:shd w:fill="auto" w:val="clear"/>
                <w:lang w:eastAsia="en-US"/>
              </w:rPr>
              <w:t>15</w:t>
            </w:r>
            <w:r>
              <w:rPr>
                <w:rFonts w:ascii="Times New Roman" w:hAnsi="Times New Roman"/>
                <w:bCs/>
                <w:shd w:fill="auto" w:val="clear"/>
                <w:lang w:eastAsia="en-US"/>
              </w:rPr>
              <w:t>» ию</w:t>
            </w:r>
            <w:r>
              <w:rPr>
                <w:rFonts w:ascii="Times New Roman" w:hAnsi="Times New Roman"/>
                <w:bCs/>
                <w:shd w:fill="auto" w:val="clear"/>
                <w:lang w:eastAsia="en-US"/>
              </w:rPr>
              <w:t>л</w:t>
            </w:r>
            <w:r>
              <w:rPr>
                <w:rFonts w:ascii="Times New Roman" w:hAnsi="Times New Roman"/>
                <w:bCs/>
                <w:shd w:fill="auto" w:val="clear"/>
                <w:lang w:eastAsia="en-US"/>
              </w:rPr>
              <w:t>я 2025 г.</w:t>
            </w:r>
          </w:p>
        </w:tc>
      </w:tr>
    </w:tbl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  <w:highlight w:val="none"/>
          <w:shd w:fill="auto" w:val="clear"/>
        </w:rPr>
      </w:pPr>
      <w:r>
        <w:rPr>
          <w:rFonts w:ascii="Times New Roman" w:hAnsi="Times New Roman"/>
          <w:b/>
          <w:bCs/>
          <w:shd w:fill="auto" w:val="clear"/>
        </w:rPr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25.12.2024 №</w:t>
      </w:r>
      <w:r>
        <w:rPr>
          <w:rFonts w:ascii="Times New Roman" w:hAnsi="Times New Roman"/>
          <w:shd w:fill="auto" w:val="clear"/>
        </w:rPr>
        <w:t xml:space="preserve"> 202) (</w:t>
      </w:r>
      <w:r>
        <w:rPr>
          <w:rFonts w:ascii="Times New Roman" w:hAnsi="Times New Roman"/>
        </w:rPr>
        <w:t xml:space="preserve">далее – ЕОСЗ), в редакции, указанной в </w:t>
      </w:r>
      <w:r>
        <w:rPr>
          <w:rFonts w:ascii="Times New Roman" w:hAnsi="Times New Roman"/>
          <w:color w:val="000000"/>
          <w:lang w:eastAsia="ar-SA"/>
        </w:rPr>
        <w:t>документации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 ис</w:t>
      </w:r>
      <w:r>
        <w:rPr>
          <w:rFonts w:ascii="Times New Roman" w:hAnsi="Times New Roman"/>
          <w:shd w:fill="auto" w:val="clear"/>
        </w:rPr>
        <w:t>пользованием фун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shd w:fill="auto" w:val="clear"/>
        </w:rPr>
        <w:t xml:space="preserve">кционала 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sz w:val="24"/>
          <w:szCs w:val="24"/>
          <w:shd w:fill="auto" w:val="clear"/>
          <w:lang w:eastAsia="ru-RU"/>
        </w:rPr>
        <w:t>ЭТП АКЦИОНЕРНОЕ ОБЩЕСТВО «</w:t>
      </w:r>
      <w:r>
        <w:rPr>
          <w:rStyle w:val="-"/>
          <w:rFonts w:eastAsia="Times New Roman" w:cs="Times New Roman" w:ascii="Tinos" w:hAnsi="Tinos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shd w:fill="auto" w:val="clear"/>
          <w:lang w:val="en-US" w:eastAsia="ru-RU"/>
        </w:rPr>
        <w:t>ЭЛЕКТРОННЫЕ ТОРГОВЫЕ СИСТЕМЫ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sz w:val="24"/>
          <w:szCs w:val="24"/>
          <w:shd w:fill="auto" w:val="clear"/>
          <w:lang w:eastAsia="ru-RU"/>
        </w:rPr>
        <w:t>»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shd w:fill="auto" w:val="clear"/>
        </w:rPr>
        <w:t>, согласно регламенту ее работы.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>
      <w:pPr>
        <w:pStyle w:val="Normal"/>
        <w:widowControl w:val="false"/>
        <w:jc w:val="both"/>
        <w:rPr/>
      </w:pPr>
      <w:r>
        <w:rPr>
          <w:rFonts w:ascii="Times New Roman" w:hAnsi="Times New Roman"/>
          <w:bCs/>
        </w:rPr>
        <w:t>Номер годовой программы закупок: 22456</w:t>
      </w:r>
      <w:r>
        <w:rPr>
          <w:rFonts w:ascii="Times New Roman" w:hAnsi="Times New Roman"/>
          <w:bCs/>
          <w:shd w:fill="auto" w:val="clear"/>
        </w:rPr>
        <w:t>/</w:t>
      </w:r>
      <w:r>
        <w:rPr>
          <w:rFonts w:ascii="Times New Roman" w:hAnsi="Times New Roman"/>
          <w:bCs/>
          <w:shd w:fill="auto" w:val="clear"/>
        </w:rPr>
        <w:t>203</w:t>
      </w:r>
      <w:r>
        <w:rPr>
          <w:rFonts w:ascii="Times New Roman" w:hAnsi="Times New Roman"/>
          <w:bCs/>
          <w:shd w:fill="auto" w:val="clear"/>
        </w:rPr>
        <w:t>.</w:t>
      </w:r>
    </w:p>
    <w:p>
      <w:pPr>
        <w:pStyle w:val="Normal"/>
        <w:widowControl w:val="false"/>
        <w:jc w:val="both"/>
        <w:rPr>
          <w:highlight w:val="none"/>
          <w:shd w:fill="auto" w:val="clear"/>
        </w:rPr>
      </w:pPr>
      <w:r>
        <w:rPr>
          <w:rFonts w:ascii="Times New Roman" w:hAnsi="Times New Roman"/>
          <w:bCs/>
          <w:shd w:fill="auto" w:val="clear"/>
        </w:rPr>
        <w:t>Заказчик: Общество с ограниченной ответственностью "Кольская АЭС-Авто".</w:t>
      </w:r>
    </w:p>
    <w:p>
      <w:pPr>
        <w:pStyle w:val="Normal"/>
        <w:widowControl w:val="false"/>
        <w:jc w:val="both"/>
        <w:rPr>
          <w:highlight w:val="none"/>
          <w:shd w:fill="auto" w:val="clear"/>
        </w:rPr>
      </w:pPr>
      <w:r>
        <w:rPr>
          <w:rFonts w:ascii="Times New Roman" w:hAnsi="Times New Roman"/>
          <w:bCs/>
          <w:shd w:fill="auto" w:val="clear"/>
        </w:rPr>
        <w:t>Организатор закупки: ООО "Кольская АЭС-Авто".</w:t>
      </w:r>
    </w:p>
    <w:p>
      <w:pPr>
        <w:pStyle w:val="Normal"/>
        <w:widowControl w:val="false"/>
        <w:jc w:val="both"/>
        <w:rPr>
          <w:highlight w:val="none"/>
          <w:shd w:fill="auto" w:val="clear"/>
        </w:rPr>
      </w:pPr>
      <w:r>
        <w:rPr>
          <w:rFonts w:ascii="Times New Roman" w:hAnsi="Times New Roman"/>
          <w:bCs/>
          <w:shd w:fill="auto" w:val="clear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keepLines w:val="false"/>
        <w:jc w:val="both"/>
        <w:rPr>
          <w:highlight w:val="none"/>
          <w:shd w:fill="auto" w:val="clear"/>
        </w:rPr>
      </w:pPr>
      <w:r>
        <w:rPr>
          <w:rFonts w:ascii="Times New Roman" w:hAnsi="Times New Roman"/>
          <w:bCs/>
          <w:shd w:fill="auto" w:val="clear"/>
        </w:rPr>
        <w:t xml:space="preserve">Предмет закупки: </w:t>
      </w:r>
      <w:r>
        <w:rPr>
          <w:rFonts w:ascii="Times New Roman" w:hAnsi="Times New Roman"/>
          <w:shd w:fill="auto" w:val="clear"/>
        </w:rPr>
        <w:t>прав</w:t>
      </w:r>
      <w:r>
        <w:rPr>
          <w:rFonts w:ascii="Times New Roman" w:hAnsi="Times New Roman"/>
          <w:b w:val="false"/>
          <w:bCs w:val="false"/>
          <w:shd w:fill="auto" w:val="clear"/>
        </w:rPr>
        <w:t xml:space="preserve">о заключения договора на </w:t>
      </w:r>
      <w:r>
        <w:rPr>
          <w:rFonts w:ascii="Tinos" w:hAnsi="Tinos"/>
          <w:b w:val="false"/>
          <w:bCs w:val="false"/>
          <w:i w:val="false"/>
          <w:iCs w:val="false"/>
          <w:color w:val="000000"/>
          <w:spacing w:val="-6"/>
          <w:sz w:val="24"/>
          <w:szCs w:val="24"/>
          <w:shd w:fill="auto" w:val="clear"/>
        </w:rPr>
        <w:t>о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color w:val="000000"/>
          <w:spacing w:val="-6"/>
          <w:sz w:val="24"/>
          <w:szCs w:val="24"/>
          <w:shd w:fill="auto" w:val="clear"/>
          <w:lang w:eastAsia="ru-RU"/>
        </w:rPr>
        <w:t xml:space="preserve">казание услуг по 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color w:val="000000"/>
          <w:sz w:val="24"/>
          <w:szCs w:val="24"/>
          <w:shd w:fill="auto" w:val="clear"/>
          <w:lang w:eastAsia="ru-RU"/>
        </w:rPr>
        <w:t xml:space="preserve">текущему ремонту электрооборудования </w:t>
      </w:r>
      <w:r>
        <w:rPr>
          <w:rFonts w:ascii="Tinos" w:hAnsi="Tinos"/>
          <w:b w:val="false"/>
          <w:bCs w:val="false"/>
          <w:i w:val="false"/>
          <w:iCs w:val="false"/>
          <w:color w:val="000000"/>
          <w:sz w:val="24"/>
          <w:szCs w:val="24"/>
          <w:shd w:fill="auto" w:val="clear"/>
          <w:lang w:eastAsia="ru-RU"/>
        </w:rPr>
        <w:t xml:space="preserve">для нужд службы общественного питания 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6"/>
          <w:sz w:val="24"/>
          <w:szCs w:val="24"/>
          <w:u w:val="none"/>
          <w:shd w:fill="auto" w:val="clear"/>
          <w:em w:val="none"/>
          <w:lang w:eastAsia="ru-RU"/>
        </w:rPr>
        <w:t>ООО «Кольская АЭС-Авто»</w:t>
      </w:r>
      <w:r>
        <w:rPr>
          <w:rFonts w:ascii="Times New Roman" w:hAnsi="Times New Roman"/>
          <w:b w:val="false"/>
          <w:bCs w:val="false"/>
          <w:shd w:fill="auto" w:val="clear"/>
        </w:rPr>
        <w:t>.</w:t>
      </w:r>
    </w:p>
    <w:p>
      <w:pPr>
        <w:pStyle w:val="Normal"/>
        <w:keepLines w:val="false"/>
        <w:jc w:val="both"/>
        <w:rPr/>
      </w:pPr>
      <w:r>
        <w:rPr>
          <w:rFonts w:ascii="Times New Roman" w:hAnsi="Times New Roman"/>
          <w:bCs/>
        </w:rPr>
        <w:t xml:space="preserve">Состав и объем </w:t>
      </w:r>
      <w:r>
        <w:rPr>
          <w:rFonts w:ascii="Times New Roman" w:hAnsi="Times New Roman"/>
          <w:bCs/>
        </w:rPr>
        <w:t>услуг</w:t>
      </w:r>
      <w:r>
        <w:rPr>
          <w:rFonts w:ascii="Times New Roman" w:hAnsi="Times New Roman"/>
          <w:bCs/>
        </w:rPr>
        <w:t>: все необходимые сведения приведены в Томе 2 извещения о проведении запроса котировок (закупочной документации).</w:t>
      </w:r>
    </w:p>
    <w:p>
      <w:pPr>
        <w:pStyle w:val="Normal"/>
        <w:widowControl w:val="false"/>
        <w:jc w:val="both"/>
        <w:rPr/>
      </w:pPr>
      <w:r>
        <w:rPr>
          <w:rFonts w:ascii="Times New Roman" w:hAnsi="Times New Roman"/>
          <w:bCs/>
        </w:rPr>
        <w:t xml:space="preserve">Срок </w:t>
      </w:r>
      <w:r>
        <w:rPr>
          <w:rFonts w:ascii="Times New Roman" w:hAnsi="Times New Roman"/>
          <w:bCs/>
        </w:rPr>
        <w:t>оказания услуги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shd w:fill="auto" w:val="clear"/>
        </w:rPr>
        <w:t xml:space="preserve">: 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shd w:fill="auto" w:val="clear"/>
          <w:lang w:eastAsia="ru-RU"/>
        </w:rPr>
        <w:t>с момента подписания договора (но не ранее 1 августа 2025г) по 31 января 2026г.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shd w:fill="auto" w:val="clear"/>
        </w:rPr>
        <w:t>.</w:t>
      </w:r>
    </w:p>
    <w:p>
      <w:pPr>
        <w:pStyle w:val="Normal"/>
        <w:widowControl w:val="false"/>
        <w:rPr>
          <w:rFonts w:ascii="Times New Roman" w:hAnsi="Times New Roman"/>
          <w:b w:val="false"/>
          <w:bCs w:val="false"/>
          <w:i w:val="false"/>
          <w:i w:val="false"/>
          <w:iCs w:val="false"/>
          <w:sz w:val="24"/>
          <w:szCs w:val="24"/>
          <w:highlight w:val="none"/>
          <w:shd w:fill="auto" w:val="clea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shd w:fill="auto" w:val="clear"/>
        </w:rPr>
      </w:r>
    </w:p>
    <w:p>
      <w:pPr>
        <w:pStyle w:val="Normal"/>
        <w:keepLines w:val="false"/>
        <w:rPr>
          <w:b w:val="false"/>
          <w:bCs w:val="false"/>
          <w:i w:val="false"/>
          <w:i w:val="false"/>
          <w:iCs w:val="false"/>
          <w:sz w:val="24"/>
          <w:szCs w:val="24"/>
          <w:highlight w:val="none"/>
          <w:shd w:fill="auto" w:val="clea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shd w:fill="auto" w:val="clear"/>
        </w:rPr>
        <w:t xml:space="preserve">Начальная (максимальная) цена договора: </w:t>
      </w:r>
      <w:r>
        <w:rPr>
          <w:rFonts w:ascii="Tinos" w:hAnsi="Tinos"/>
          <w:b w:val="false"/>
          <w:bCs w:val="false"/>
          <w:i w:val="false"/>
          <w:iCs w:val="false"/>
          <w:color w:val="000000"/>
          <w:sz w:val="24"/>
          <w:szCs w:val="24"/>
          <w:shd w:fill="auto" w:val="clear"/>
        </w:rPr>
        <w:t>600 000 (Шестьсот тысяч) рублей 00 копеек, включая НДС (НДС 20 %).</w:t>
      </w:r>
    </w:p>
    <w:p>
      <w:pPr>
        <w:pStyle w:val="Normal"/>
        <w:rPr>
          <w:b w:val="false"/>
          <w:bCs w:val="false"/>
          <w:i w:val="false"/>
          <w:i w:val="false"/>
          <w:iCs w:val="false"/>
          <w:sz w:val="24"/>
          <w:szCs w:val="24"/>
          <w:highlight w:val="none"/>
          <w:shd w:fill="auto" w:val="clear"/>
        </w:rPr>
      </w:pPr>
      <w:r>
        <w:rPr>
          <w:b w:val="false"/>
          <w:bCs w:val="false"/>
          <w:i w:val="false"/>
          <w:iCs w:val="false"/>
          <w:sz w:val="24"/>
          <w:szCs w:val="24"/>
          <w:shd w:fill="auto" w:val="clear"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highlight w:val="none"/>
          <w:shd w:fill="auto" w:val="clear"/>
        </w:rPr>
      </w:pPr>
      <w:r>
        <w:rPr>
          <w:rFonts w:ascii="Times New Roman" w:hAnsi="Times New Roman"/>
          <w:shd w:fill="auto" w:val="clear"/>
        </w:rPr>
        <w:t>Извещение о проведении закупки (закупочная документация) опубликовано «0</w:t>
      </w:r>
      <w:r>
        <w:rPr>
          <w:rFonts w:ascii="Times New Roman" w:hAnsi="Times New Roman"/>
          <w:shd w:fill="auto" w:val="clear"/>
        </w:rPr>
        <w:t>7</w:t>
      </w:r>
      <w:r>
        <w:rPr>
          <w:rFonts w:ascii="Times New Roman" w:hAnsi="Times New Roman"/>
          <w:shd w:fill="auto" w:val="clear"/>
        </w:rPr>
        <w:t>» ию</w:t>
      </w:r>
      <w:r>
        <w:rPr>
          <w:rFonts w:ascii="Times New Roman" w:hAnsi="Times New Roman"/>
          <w:shd w:fill="auto" w:val="clear"/>
        </w:rPr>
        <w:t>л</w:t>
      </w:r>
      <w:r>
        <w:rPr>
          <w:rFonts w:ascii="Times New Roman" w:hAnsi="Times New Roman"/>
          <w:shd w:fill="auto" w:val="clear"/>
        </w:rPr>
        <w:t>я 2025 года на официальном государственном сайте http://www.zakupki.gov.ru/, закупка № 3251</w:t>
      </w:r>
      <w:r>
        <w:rPr>
          <w:rFonts w:ascii="Times New Roman" w:hAnsi="Times New Roman"/>
          <w:shd w:fill="auto" w:val="clear"/>
        </w:rPr>
        <w:t>5014978</w:t>
      </w:r>
      <w:r>
        <w:rPr>
          <w:rFonts w:ascii="Times New Roman" w:hAnsi="Times New Roman"/>
          <w:shd w:fill="auto" w:val="clear"/>
        </w:rPr>
        <w:t xml:space="preserve">, на официальном сайте по закупкам атомной отрасли http://zakupki.rosatom.ru/, закупка № </w:t>
      </w:r>
      <w:r>
        <w:rPr>
          <w:rFonts w:ascii="Times New Roman" w:hAnsi="Times New Roman"/>
          <w:shd w:fill="auto" w:val="clear"/>
        </w:rPr>
        <w:t>103397</w:t>
      </w:r>
      <w:r>
        <w:rPr>
          <w:rFonts w:ascii="Times New Roman" w:hAnsi="Times New Roman"/>
          <w:shd w:fill="auto" w:val="clear"/>
        </w:rPr>
        <w:t xml:space="preserve">, на </w:t>
      </w:r>
      <w:r>
        <w:rPr>
          <w:rFonts w:eastAsia="Times New Roman" w:cs="Times New Roman" w:ascii="Tinos" w:hAnsi="Tinos"/>
          <w:bCs/>
          <w:sz w:val="24"/>
          <w:szCs w:val="24"/>
          <w:shd w:fill="auto" w:val="clear"/>
          <w:lang w:eastAsia="ru-RU"/>
        </w:rPr>
        <w:t>ЭТП АКЦИОНЕРНОЕ ОБЩЕСТВО «</w:t>
      </w:r>
      <w:r>
        <w:rPr>
          <w:rStyle w:val="-"/>
          <w:rFonts w:eastAsia="Times New Roman" w:cs="Times New Roman" w:ascii="Tinos" w:hAnsi="Tinos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shd w:fill="auto" w:val="clear"/>
          <w:lang w:val="en-US" w:eastAsia="ru-RU"/>
        </w:rPr>
        <w:t>ЭЛЕКТРОННЫЕ ТОРГОВЫЕ СИСТЕМЫ</w:t>
      </w:r>
      <w:r>
        <w:rPr>
          <w:rFonts w:eastAsia="Times New Roman" w:cs="Times New Roman" w:ascii="Tinos" w:hAnsi="Tinos"/>
          <w:bCs/>
          <w:sz w:val="24"/>
          <w:szCs w:val="24"/>
          <w:shd w:fill="auto" w:val="clear"/>
          <w:lang w:eastAsia="ru-RU"/>
        </w:rPr>
        <w:t>»</w:t>
      </w:r>
      <w:r>
        <w:rPr>
          <w:rFonts w:ascii="Times New Roman" w:hAnsi="Times New Roman"/>
          <w:shd w:fill="auto" w:val="clear"/>
        </w:rPr>
        <w:t>, закупка №</w:t>
      </w:r>
      <w:r>
        <w:rPr>
          <w:rFonts w:ascii="Times New Roman" w:hAnsi="Times New Roman"/>
          <w:b w:val="false"/>
          <w:bCs w:val="false"/>
          <w:shd w:fill="auto" w:val="clear"/>
        </w:rPr>
        <w:t xml:space="preserve"> 3251</w:t>
      </w:r>
      <w:r>
        <w:rPr>
          <w:rFonts w:ascii="Times New Roman" w:hAnsi="Times New Roman"/>
          <w:b w:val="false"/>
          <w:bCs w:val="false"/>
          <w:shd w:fill="auto" w:val="clear"/>
        </w:rPr>
        <w:t>5014978</w:t>
      </w:r>
      <w:r>
        <w:rPr>
          <w:rFonts w:ascii="Times New Roman" w:hAnsi="Times New Roman"/>
          <w:b w:val="false"/>
          <w:bCs w:val="false"/>
          <w:shd w:fill="auto" w:val="clear"/>
        </w:rPr>
        <w:t>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Срок окончания подачи заявок на участие в закупке 08:00 (время московско</w:t>
      </w:r>
      <w:r>
        <w:rPr>
          <w:rFonts w:ascii="Times New Roman" w:hAnsi="Times New Roman"/>
          <w:bCs/>
          <w:shd w:fill="auto" w:val="clear"/>
        </w:rPr>
        <w:t>е) «1</w:t>
      </w:r>
      <w:r>
        <w:rPr>
          <w:rFonts w:ascii="Times New Roman" w:hAnsi="Times New Roman"/>
          <w:bCs/>
          <w:shd w:fill="auto" w:val="clear"/>
        </w:rPr>
        <w:t>5</w:t>
      </w:r>
      <w:r>
        <w:rPr>
          <w:rFonts w:ascii="Times New Roman" w:hAnsi="Times New Roman"/>
          <w:bCs/>
          <w:shd w:fill="auto" w:val="clear"/>
        </w:rPr>
        <w:t>» ию</w:t>
      </w:r>
      <w:r>
        <w:rPr>
          <w:rFonts w:ascii="Times New Roman" w:hAnsi="Times New Roman"/>
          <w:bCs/>
          <w:shd w:fill="auto" w:val="clear"/>
        </w:rPr>
        <w:t>л</w:t>
      </w:r>
      <w:r>
        <w:rPr>
          <w:rFonts w:ascii="Times New Roman" w:hAnsi="Times New Roman"/>
          <w:bCs/>
          <w:shd w:fill="auto" w:val="clear"/>
        </w:rPr>
        <w:t>я</w:t>
      </w:r>
      <w:r>
        <w:rPr>
          <w:rFonts w:ascii="Times New Roman" w:hAnsi="Times New Roman"/>
          <w:bCs/>
        </w:rPr>
        <w:t xml:space="preserve"> 2025 года. 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Количество поданных на</w:t>
      </w:r>
      <w:r>
        <w:rPr>
          <w:rFonts w:ascii="Times New Roman" w:hAnsi="Times New Roman"/>
          <w:bCs/>
          <w:shd w:fill="auto" w:val="clear"/>
        </w:rPr>
        <w:t xml:space="preserve"> </w:t>
      </w:r>
      <w:r>
        <w:rPr>
          <w:rFonts w:eastAsia="Times New Roman" w:cs="Times New Roman" w:ascii="Tinos" w:hAnsi="Tinos"/>
          <w:bCs/>
          <w:sz w:val="24"/>
          <w:szCs w:val="24"/>
          <w:shd w:fill="auto" w:val="clear"/>
          <w:lang w:eastAsia="ru-RU"/>
        </w:rPr>
        <w:t>ЭТП АКЦИОНЕРНОЕ ОБЩЕСТВО «</w:t>
      </w:r>
      <w:r>
        <w:rPr>
          <w:rStyle w:val="-"/>
          <w:rFonts w:eastAsia="Times New Roman" w:cs="Times New Roman" w:ascii="Tinos" w:hAnsi="Tinos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shd w:fill="auto" w:val="clear"/>
          <w:lang w:val="en-US" w:eastAsia="ru-RU"/>
        </w:rPr>
        <w:t>ЭЛЕКТРОННЫЕ ТОРГОВЫЕ СИСТЕМЫ</w:t>
      </w:r>
      <w:r>
        <w:rPr>
          <w:rFonts w:eastAsia="Times New Roman" w:cs="Times New Roman" w:ascii="Tinos" w:hAnsi="Tinos"/>
          <w:bCs/>
          <w:sz w:val="24"/>
          <w:szCs w:val="24"/>
          <w:shd w:fill="auto" w:val="clear"/>
          <w:lang w:eastAsia="ru-RU"/>
        </w:rPr>
        <w:t>»</w:t>
      </w:r>
      <w:r>
        <w:rPr>
          <w:rFonts w:ascii="Times New Roman" w:hAnsi="Times New Roman"/>
          <w:bCs/>
          <w:shd w:fill="auto" w:val="clear"/>
        </w:rPr>
        <w:t xml:space="preserve"> зая</w:t>
      </w:r>
      <w:r>
        <w:rPr>
          <w:rFonts w:ascii="Times New Roman" w:hAnsi="Times New Roman"/>
          <w:bCs/>
        </w:rPr>
        <w:t>вок на участие в закупке: 0.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В связи с тем, что после окончания срока подачи заявок на участие в процедуре закупки не подано ни одной заявки, в соответствии с подпунктом б) пункта 1.1 части 1 статьи 6.4 ЕОСЗ, Запрос котировок в электронной форме (МСП) на право заключения договора </w:t>
      </w:r>
      <w:r>
        <w:rPr>
          <w:rFonts w:ascii="Times New Roman" w:hAnsi="Times New Roman"/>
          <w:b w:val="false"/>
          <w:bCs w:val="false"/>
        </w:rPr>
        <w:t xml:space="preserve">на </w:t>
      </w:r>
      <w:r>
        <w:rPr>
          <w:rFonts w:ascii="Tinos" w:hAnsi="Tinos"/>
          <w:b w:val="false"/>
          <w:bCs w:val="false"/>
          <w:i w:val="false"/>
          <w:iCs w:val="false"/>
          <w:color w:val="000000"/>
          <w:spacing w:val="-6"/>
          <w:sz w:val="24"/>
          <w:szCs w:val="24"/>
          <w:shd w:fill="auto" w:val="clear"/>
        </w:rPr>
        <w:t>о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color w:val="000000"/>
          <w:spacing w:val="-6"/>
          <w:sz w:val="24"/>
          <w:szCs w:val="24"/>
          <w:shd w:fill="auto" w:val="clear"/>
          <w:lang w:eastAsia="ru-RU"/>
        </w:rPr>
        <w:t xml:space="preserve">казание услуг по 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color w:val="000000"/>
          <w:sz w:val="24"/>
          <w:szCs w:val="24"/>
          <w:shd w:fill="auto" w:val="clear"/>
          <w:lang w:eastAsia="ru-RU"/>
        </w:rPr>
        <w:t xml:space="preserve">текущему ремонту электрооборудования </w:t>
      </w:r>
      <w:r>
        <w:rPr>
          <w:rFonts w:ascii="Tinos" w:hAnsi="Tinos"/>
          <w:b w:val="false"/>
          <w:bCs w:val="false"/>
          <w:i w:val="false"/>
          <w:iCs w:val="false"/>
          <w:color w:val="000000"/>
          <w:sz w:val="24"/>
          <w:szCs w:val="24"/>
          <w:shd w:fill="auto" w:val="clear"/>
          <w:lang w:eastAsia="ru-RU"/>
        </w:rPr>
        <w:t xml:space="preserve">для нужд службы общественного питания 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6"/>
          <w:sz w:val="24"/>
          <w:szCs w:val="24"/>
          <w:u w:val="none"/>
          <w:shd w:fill="auto" w:val="clear"/>
          <w:em w:val="none"/>
          <w:lang w:eastAsia="ru-RU"/>
        </w:rPr>
        <w:t>ООО «Кольская АЭС-Авто»</w:t>
      </w:r>
      <w:r>
        <w:rPr>
          <w:rFonts w:ascii="Times New Roman" w:hAnsi="Times New Roman"/>
          <w:b w:val="false"/>
          <w:bCs w:val="false"/>
          <w:shd w:fill="auto" w:val="clear"/>
        </w:rPr>
        <w:t xml:space="preserve"> </w:t>
      </w:r>
      <w:r>
        <w:rPr>
          <w:rFonts w:ascii="Times New Roman" w:hAnsi="Times New Roman"/>
          <w:bCs/>
        </w:rPr>
        <w:t>признан несостоявшимся.</w:t>
      </w:r>
    </w:p>
    <w:p>
      <w:pPr>
        <w:pStyle w:val="Normal"/>
        <w:widowControl w:val="false"/>
        <w:ind w:left="284" w:hanging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3098"/>
        <w:gridCol w:w="4871"/>
        <w:gridCol w:w="2066"/>
      </w:tblGrid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>
        <w:trPr/>
        <w:tc>
          <w:tcPr>
            <w:tcW w:w="30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Светачева А.М.</w:t>
            </w:r>
          </w:p>
        </w:tc>
        <w:tc>
          <w:tcPr>
            <w:tcW w:w="48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 xml:space="preserve"> </w:t>
            </w:r>
            <w:r>
              <w:rPr>
                <w:rFonts w:eastAsia="Calibri" w:ascii="Times New Roman" w:hAnsi="Times New Roman"/>
              </w:rPr>
              <w:t>Специалист ООЗиМТО</w:t>
            </w:r>
          </w:p>
        </w:tc>
        <w:tc>
          <w:tcPr>
            <w:tcW w:w="206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eastAsiaTheme="minorHAnsi" w:ascii="Times New Roman" w:hAnsi="Times New Roman"/>
              </w:rPr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/>
          <w:color w:val="000000"/>
          <w:lang w:eastAsia="ar-SA"/>
        </w:rPr>
      </w:pPr>
      <w:r>
        <w:rPr>
          <w:rFonts w:eastAsia="Calibri" w:ascii="Times New Roman" w:hAnsi="Times New Roman"/>
          <w:color w:val="000000"/>
          <w:lang w:eastAsia="ar-SA"/>
        </w:rPr>
      </w:r>
    </w:p>
    <w:sectPr>
      <w:footerReference w:type="default" r:id="rId2"/>
      <w:type w:val="nextPage"/>
      <w:pgSz w:w="11906" w:h="16838"/>
      <w:pgMar w:left="1134" w:right="737" w:gutter="0" w:header="0" w:top="567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Book Antiqua">
    <w:charset w:val="01"/>
    <w:family w:val="roman"/>
    <w:pitch w:val="default"/>
  </w:font>
  <w:font w:name="Times New Roman">
    <w:charset w:val="01"/>
    <w:family w:val="roman"/>
    <w:pitch w:val="default"/>
  </w:font>
  <w:font w:name="Courier New">
    <w:charset w:val="01"/>
    <w:family w:val="roman"/>
    <w:pitch w:val="default"/>
  </w:font>
  <w:font w:name="Tinos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Lines w:val="false"/>
      <w:widowControl w:val="false"/>
      <w:numPr>
        <w:ilvl w:val="0"/>
        <w:numId w:val="0"/>
      </w:numPr>
      <w:ind w:left="0" w:hanging="0"/>
      <w:jc w:val="center"/>
      <w:outlineLvl w:val="0"/>
      <w:rPr>
        <w:b w:val="false"/>
        <w:bCs w:val="false"/>
        <w:sz w:val="16"/>
        <w:szCs w:val="16"/>
      </w:rPr>
    </w:pPr>
    <w:bookmarkStart w:id="1" w:name="_GoBack_Копия_1"/>
    <w:bookmarkEnd w:id="1"/>
    <w:r>
      <w:rPr>
        <w:rFonts w:ascii="Times New Roman" w:hAnsi="Times New Roman"/>
        <w:b w:val="false"/>
        <w:bCs w:val="false"/>
        <w:sz w:val="16"/>
        <w:szCs w:val="16"/>
      </w:rPr>
      <w:t>ПРОТОКОЛ №</w:t>
    </w:r>
    <w:r>
      <w:rPr>
        <w:rFonts w:ascii="Times New Roman" w:hAnsi="Times New Roman"/>
        <w:b w:val="false"/>
        <w:bCs w:val="false"/>
        <w:sz w:val="16"/>
        <w:szCs w:val="16"/>
        <w:shd w:fill="auto" w:val="clear"/>
      </w:rPr>
      <w:t xml:space="preserve"> 3251</w:t>
    </w:r>
    <w:r>
      <w:rPr>
        <w:rFonts w:ascii="Times New Roman" w:hAnsi="Times New Roman"/>
        <w:b w:val="false"/>
        <w:bCs w:val="false"/>
        <w:sz w:val="16"/>
        <w:szCs w:val="16"/>
        <w:shd w:fill="auto" w:val="clear"/>
      </w:rPr>
      <w:t>5014978</w:t>
    </w:r>
    <w:r>
      <w:rPr>
        <w:rFonts w:ascii="Times New Roman" w:hAnsi="Times New Roman"/>
        <w:b w:val="false"/>
        <w:bCs w:val="false"/>
        <w:sz w:val="16"/>
        <w:szCs w:val="16"/>
        <w:shd w:fill="auto" w:val="clear"/>
      </w:rPr>
      <w:t>/1</w:t>
    </w:r>
  </w:p>
  <w:p>
    <w:pPr>
      <w:pStyle w:val="Normal"/>
      <w:keepLines w:val="false"/>
      <w:widowControl w:val="false"/>
      <w:numPr>
        <w:ilvl w:val="0"/>
        <w:numId w:val="0"/>
      </w:numPr>
      <w:ind w:left="0" w:hanging="0"/>
      <w:jc w:val="center"/>
      <w:outlineLvl w:val="0"/>
      <w:rPr>
        <w:sz w:val="16"/>
        <w:szCs w:val="16"/>
      </w:rPr>
    </w:pPr>
    <w:r>
      <w:rPr>
        <w:rFonts w:ascii="Times New Roman" w:hAnsi="Times New Roman"/>
        <w:b w:val="false"/>
        <w:bCs w:val="false"/>
        <w:sz w:val="16"/>
        <w:szCs w:val="16"/>
        <w:shd w:fill="auto" w:val="clear"/>
      </w:rPr>
      <w:t>заседания закупочной комиссии по подведению итогов закупки</w:t>
    </w:r>
  </w:p>
  <w:p>
    <w:pPr>
      <w:pStyle w:val="Normal"/>
      <w:keepLines w:val="false"/>
      <w:widowControl w:val="false"/>
      <w:numPr>
        <w:ilvl w:val="0"/>
        <w:numId w:val="0"/>
      </w:numPr>
      <w:ind w:left="0" w:hanging="0"/>
      <w:jc w:val="center"/>
      <w:outlineLvl w:val="0"/>
      <w:rPr>
        <w:sz w:val="16"/>
        <w:szCs w:val="16"/>
      </w:rPr>
    </w:pPr>
    <w:r>
      <w:rPr>
        <w:rFonts w:ascii="Times New Roman" w:hAnsi="Times New Roman"/>
        <w:b w:val="false"/>
        <w:bCs w:val="false"/>
        <w:sz w:val="16"/>
        <w:szCs w:val="16"/>
        <w:shd w:fill="auto" w:val="clear"/>
      </w:rPr>
      <w:t xml:space="preserve">на право заключения договора на </w:t>
    </w:r>
    <w:r>
      <w:rPr>
        <w:rFonts w:ascii="Tinos" w:hAnsi="Tinos"/>
        <w:b w:val="false"/>
        <w:bCs w:val="false"/>
        <w:i w:val="false"/>
        <w:iCs w:val="false"/>
        <w:color w:val="000000"/>
        <w:spacing w:val="-6"/>
        <w:sz w:val="16"/>
        <w:szCs w:val="16"/>
        <w:shd w:fill="auto" w:val="clear"/>
      </w:rPr>
      <w:t>о</w:t>
    </w:r>
    <w:r>
      <w:rPr>
        <w:rFonts w:eastAsia="Times New Roman" w:cs="Times New Roman" w:ascii="Tinos" w:hAnsi="Tinos"/>
        <w:b w:val="false"/>
        <w:bCs w:val="false"/>
        <w:i w:val="false"/>
        <w:iCs w:val="false"/>
        <w:color w:val="000000"/>
        <w:spacing w:val="-6"/>
        <w:sz w:val="16"/>
        <w:szCs w:val="16"/>
        <w:shd w:fill="auto" w:val="clear"/>
        <w:lang w:eastAsia="ru-RU"/>
      </w:rPr>
      <w:t xml:space="preserve">казание услуг по </w:t>
    </w:r>
    <w:r>
      <w:rPr>
        <w:rFonts w:eastAsia="Times New Roman" w:cs="Times New Roman" w:ascii="Tinos" w:hAnsi="Tinos"/>
        <w:b w:val="false"/>
        <w:bCs w:val="false"/>
        <w:i w:val="false"/>
        <w:iCs w:val="false"/>
        <w:color w:val="000000"/>
        <w:sz w:val="16"/>
        <w:szCs w:val="16"/>
        <w:shd w:fill="auto" w:val="clear"/>
        <w:lang w:eastAsia="ru-RU"/>
      </w:rPr>
      <w:t xml:space="preserve">текущему ремонту электрооборудования </w:t>
    </w:r>
    <w:r>
      <w:rPr>
        <w:rFonts w:ascii="Tinos" w:hAnsi="Tinos"/>
        <w:b w:val="false"/>
        <w:bCs w:val="false"/>
        <w:i w:val="false"/>
        <w:iCs w:val="false"/>
        <w:color w:val="000000"/>
        <w:sz w:val="16"/>
        <w:szCs w:val="16"/>
        <w:shd w:fill="auto" w:val="clear"/>
        <w:lang w:eastAsia="ru-RU"/>
      </w:rPr>
      <w:t xml:space="preserve">для нужд службы общественного питания </w:t>
    </w:r>
    <w:r>
      <w:rPr>
        <w:rFonts w:eastAsia="Times New Roman" w:cs="Times New Roman" w:ascii="Tinos" w:hAnsi="Tinos"/>
        <w:b w:val="false"/>
        <w:bCs w:val="false"/>
        <w:i w:val="false"/>
        <w:iCs w:val="false"/>
        <w:strike w:val="false"/>
        <w:dstrike w:val="false"/>
        <w:outline w:val="false"/>
        <w:shadow w:val="false"/>
        <w:color w:val="000000"/>
        <w:spacing w:val="-6"/>
        <w:sz w:val="16"/>
        <w:szCs w:val="16"/>
        <w:u w:val="none"/>
        <w:shd w:fill="auto" w:val="clear"/>
        <w:em w:val="none"/>
        <w:lang w:eastAsia="ru-RU"/>
      </w:rPr>
      <w:t>ООО «Кольская АЭС-Авто»</w:t>
    </w:r>
  </w:p>
  <w:p>
    <w:pPr>
      <w:pStyle w:val="Style20"/>
      <w:numPr>
        <w:ilvl w:val="0"/>
        <w:numId w:val="0"/>
      </w:numPr>
      <w:spacing w:before="0" w:after="160"/>
      <w:ind w:left="0" w:hanging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sz w:val="16"/>
        <w:szCs w:val="16"/>
        <w:rFonts w:ascii="Times New Roman" w:hAnsi="Times New Roman"/>
      </w:rPr>
      <w:instrText xml:space="preserve"> PAGE </w:instrText>
    </w:r>
    <w:r>
      <w:rPr>
        <w:sz w:val="16"/>
        <w:szCs w:val="16"/>
        <w:rFonts w:ascii="Times New Roman" w:hAnsi="Times New Roman"/>
      </w:rPr>
      <w:fldChar w:fldCharType="separate"/>
    </w:r>
    <w:r>
      <w:rPr>
        <w:sz w:val="16"/>
        <w:szCs w:val="16"/>
        <w:rFonts w:ascii="Times New Roman" w:hAnsi="Times New Roman"/>
      </w:rPr>
      <w:t>1</w:t>
    </w:r>
    <w:r>
      <w:rPr>
        <w:sz w:val="16"/>
        <w:szCs w:val="16"/>
        <w:rFonts w:ascii="Times New Roman" w:hAnsi="Times New Roman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sz w:val="16"/>
        <w:szCs w:val="16"/>
        <w:rFonts w:ascii="Times New Roman" w:hAnsi="Times New Roman"/>
      </w:rPr>
      <w:instrText xml:space="preserve"> NUMPAGES </w:instrText>
    </w:r>
    <w:r>
      <w:rPr>
        <w:sz w:val="16"/>
        <w:szCs w:val="16"/>
        <w:rFonts w:ascii="Times New Roman" w:hAnsi="Times New Roman"/>
      </w:rPr>
      <w:fldChar w:fldCharType="separate"/>
    </w:r>
    <w:r>
      <w:rPr>
        <w:sz w:val="16"/>
        <w:szCs w:val="16"/>
        <w:rFonts w:ascii="Times New Roman" w:hAnsi="Times New Roman"/>
      </w:rPr>
      <w:t>1</w:t>
    </w:r>
    <w:r>
      <w:rPr>
        <w:sz w:val="16"/>
        <w:szCs w:val="16"/>
        <w:rFonts w:ascii="Times New Roman" w:hAnsi="Times New Roman"/>
      </w:rPr>
      <w:fldChar w:fldCharType="end"/>
    </w:r>
  </w:p>
</w:ftr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keepLines/>
      <w:widowControl/>
      <w:suppressAutoHyphens w:val="true"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3">
    <w:name w:val="Heading 3"/>
    <w:basedOn w:val="Normal"/>
    <w:next w:val="Normal"/>
    <w:link w:val="31"/>
    <w:uiPriority w:val="99"/>
    <w:semiHidden/>
    <w:unhideWhenUsed/>
    <w:qFormat/>
    <w:pPr>
      <w:keepNext w:val="true"/>
      <w:spacing w:before="240" w:after="60"/>
      <w:outlineLvl w:val="2"/>
    </w:pPr>
    <w:rPr>
      <w:rFonts w:cs="Arial"/>
      <w:b/>
      <w:bCs/>
      <w:sz w:val="28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uiPriority w:val="99"/>
    <w:semiHidden/>
    <w:unhideWhenUsed/>
    <w:rPr>
      <w:strike w:val="false"/>
      <w:dstrike w:val="false"/>
      <w:color w:val="0063A4"/>
      <w:u w:val="none"/>
      <w:effect w:val="none"/>
    </w:rPr>
  </w:style>
  <w:style w:type="character" w:styleId="Style13">
    <w:name w:val="FollowedHyperlink"/>
    <w:uiPriority w:val="99"/>
    <w:semiHidden/>
    <w:unhideWhenUsed/>
    <w:rPr>
      <w:color w:val="800080"/>
      <w:u w:val="single"/>
    </w:rPr>
  </w:style>
  <w:style w:type="character" w:styleId="31" w:customStyle="1">
    <w:name w:val="Заголовок 3 Знак"/>
    <w:uiPriority w:val="99"/>
    <w:semiHidden/>
    <w:qFormat/>
    <w:locked/>
    <w:rPr>
      <w:rFonts w:ascii="Arial" w:hAnsi="Arial" w:eastAsia="Times New Roman" w:cs="Arial"/>
      <w:b/>
      <w:bCs/>
      <w:sz w:val="28"/>
      <w:szCs w:val="26"/>
      <w:lang w:eastAsia="ru-RU"/>
    </w:rPr>
  </w:style>
  <w:style w:type="character" w:styleId="Style14" w:customStyle="1">
    <w:name w:val="Текст примечания Знак"/>
    <w:link w:val="Annotationtext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5" w:customStyle="1">
    <w:name w:val="Верхний колонтитул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6" w:customStyle="1">
    <w:name w:val="Нижний колонтитул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7" w:customStyle="1">
    <w:name w:val="Основной текст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8" w:customStyle="1">
    <w:name w:val="Текст выноски Знак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0">
    <w:name w:val="Body Text"/>
    <w:basedOn w:val="Normal"/>
    <w:link w:val="Style17"/>
    <w:uiPriority w:val="99"/>
    <w:unhideWhenUsed/>
    <w:pPr>
      <w:spacing w:before="0" w:after="160"/>
    </w:pPr>
    <w:rPr/>
  </w:style>
  <w:style w:type="paragraph" w:styleId="Style21">
    <w:name w:val="List"/>
    <w:basedOn w:val="Style20"/>
    <w:pPr/>
    <w:rPr>
      <w:rFonts w:ascii="PT Astra Serif" w:hAnsi="PT Astra Serif" w:cs="Noto Sans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Annotationtext">
    <w:name w:val="annotation text"/>
    <w:basedOn w:val="Normal"/>
    <w:link w:val="Style14"/>
    <w:uiPriority w:val="99"/>
    <w:semiHidden/>
    <w:unhideWhenUsed/>
    <w:qFormat/>
    <w:pPr/>
    <w:rPr>
      <w:sz w:val="20"/>
      <w:szCs w:val="20"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Header"/>
    <w:basedOn w:val="Normal"/>
    <w:link w:val="Style15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6">
    <w:name w:val="Footer"/>
    <w:basedOn w:val="Normal"/>
    <w:link w:val="Style16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8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spacing w:before="0" w:after="0"/>
      <w:ind w:left="720" w:hanging="0"/>
      <w:contextualSpacing/>
    </w:pPr>
    <w:rPr/>
  </w:style>
  <w:style w:type="paragraph" w:styleId="311" w:customStyle="1">
    <w:name w:val="Основной текст 31"/>
    <w:basedOn w:val="Normal"/>
    <w:uiPriority w:val="99"/>
    <w:qFormat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2" w:customStyle="1">
    <w:name w:val="Основной текст с отступом 31"/>
    <w:basedOn w:val="Normal"/>
    <w:uiPriority w:val="99"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27" w:customStyle="1">
    <w:name w:val="* С выравниванием по левому краю"/>
    <w:uiPriority w:val="99"/>
    <w:qFormat/>
    <w:pPr>
      <w:widowControl w:val="false"/>
      <w:suppressAutoHyphens w:val="true"/>
      <w:bidi w:val="0"/>
      <w:spacing w:lineRule="atLeast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4"/>
      <w:szCs w:val="24"/>
      <w:lang w:val="ru-RU" w:eastAsia="ru-RU" w:bidi="ar-SA"/>
    </w:rPr>
  </w:style>
  <w:style w:type="paragraph" w:styleId="NormalWeb">
    <w:name w:val="Normal (Web)"/>
    <w:basedOn w:val="Normal"/>
    <w:uiPriority w:val="99"/>
    <w:semiHidden/>
    <w:unhideWhenUsed/>
    <w:qFormat/>
    <w:pPr>
      <w:keepLines w:val="false"/>
      <w:spacing w:beforeAutospacing="1" w:afterAutospacing="1"/>
      <w:jc w:val="left"/>
    </w:pPr>
    <w:rPr>
      <w:rFonts w:ascii="Times New Roman" w:hAnsi="Times New Roman" w:eastAsia="" w:eastAsiaTheme="minorEastAsi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F5EB8-F59B-4148-B83F-02200299E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Application>LibreOffice/7.5.6.2$Linux_X86_64 LibreOffice_project/50$Build-2</Application>
  <AppVersion>15.0000</AppVersion>
  <Pages>1</Pages>
  <Words>366</Words>
  <Characters>2454</Characters>
  <CharactersWithSpaces>2799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2024-03-28T05:41:00Z</dcterms:created>
  <dc:creator>ss</dc:creator>
  <dc:description/>
  <dc:language>ru-RU</dc:language>
  <cp:lastModifiedBy/>
  <cp:lastPrinted>2025-07-15T08:31:05Z</cp:lastPrinted>
  <dcterms:modified xsi:type="dcterms:W3CDTF">2025-07-15T08:33:29Z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