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ПРОТОКОЛ №32515074770/1</w:t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заседания закупочной комиссии по подведению итогов закупки на право заключения договора на оказание услуг по текущему ремонту электрооборудования </w:t>
      </w:r>
      <w:r>
        <w:rPr>
          <w:rFonts w:ascii="Times New Roman" w:hAnsi="Times New Roman"/>
          <w:b/>
          <w:bCs/>
          <w:color w:val="000000"/>
          <w:sz w:val="24"/>
          <w:szCs w:val="24"/>
          <w:shd w:fill="auto" w:val="clear"/>
        </w:rPr>
        <w:t>для нужд службы общественного питания ООО «Кольская АЭС-Авто»</w:t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tbl>
      <w:tblPr>
        <w:tblW w:w="9921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4974"/>
        <w:gridCol w:w="4946"/>
      </w:tblGrid>
      <w:tr>
        <w:trPr/>
        <w:tc>
          <w:tcPr>
            <w:tcW w:w="4974" w:type="dxa"/>
            <w:tcBorders/>
          </w:tcPr>
          <w:p>
            <w:pPr>
              <w:pStyle w:val="Normal"/>
              <w:keepLines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 xml:space="preserve">г.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en-US"/>
              </w:rPr>
              <w:t>Полярные Зори</w:t>
            </w:r>
          </w:p>
        </w:tc>
        <w:tc>
          <w:tcPr>
            <w:tcW w:w="4946" w:type="dxa"/>
            <w:tcBorders/>
          </w:tcPr>
          <w:p>
            <w:pPr>
              <w:pStyle w:val="Normal"/>
              <w:keepLines/>
              <w:widowControl w:val="false"/>
              <w:spacing w:lineRule="auto" w:line="276" w:before="0" w:after="0"/>
              <w:jc w:val="right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shd w:fill="auto" w:val="clear"/>
                <w:lang w:val="en-US"/>
              </w:rPr>
              <w:t>«07»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en-US"/>
              </w:rPr>
              <w:t xml:space="preserve"> августа 20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>25 г.</w:t>
            </w:r>
          </w:p>
        </w:tc>
      </w:tr>
    </w:tbl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Запрос котировок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</w:t>
      </w: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  <w:t>25.12.2024 № 202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) (далее – ЕОСЗ), в редакции, указанной в документации по запросу котировок, с использованием функционала</w:t>
      </w:r>
      <w:r>
        <w:rPr>
          <w:rFonts w:eastAsia="Times New Roman" w:cs="Times New Roman" w:ascii="Times New Roman" w:hAnsi="Times New Roman"/>
          <w:b w:val="false"/>
          <w:bCs w:val="false"/>
          <w:i/>
          <w:iCs/>
          <w:sz w:val="24"/>
          <w:szCs w:val="24"/>
          <w:shd w:fill="auto" w:val="clear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  <w:lang w:eastAsia="ru-RU"/>
        </w:rPr>
        <w:t xml:space="preserve">ЭТП </w:t>
      </w:r>
      <w:r>
        <w:rPr>
          <w:rStyle w:val="-"/>
          <w:rFonts w:eastAsia="Times New Roman" w:cs="Times New Roman" w:ascii="Tinos" w:hAnsi="Tinos"/>
          <w:b w:val="false"/>
          <w:bCs w:val="false"/>
          <w:i w:val="false"/>
          <w:iCs w:val="false"/>
          <w:color w:val="000000" w:themeColor="text1"/>
          <w:spacing w:val="1"/>
          <w:sz w:val="24"/>
          <w:szCs w:val="24"/>
          <w:u w:val="none"/>
          <w:shd w:fill="auto" w:val="clear"/>
          <w:lang w:eastAsia="ru-RU"/>
        </w:rPr>
        <w:t>АКЦИОНЕРНОЕ ОБЩЕСТВО «ЭЛЕКТРОННЫЕ ТОРГОВЫЕ СИСТЕМЫ»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согласно регламенту ее работы.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  <w:bookmarkStart w:id="0" w:name="_GoBack"/>
      <w:bookmarkStart w:id="1" w:name="_GoBack"/>
      <w:bookmarkEnd w:id="1"/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/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Номер годовой программы закупок: 22456/203.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Заказчик: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Общество с ограниченной ответственностью «Кольская АЭС-Авто»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Организатор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: ООО "Кольская АЭС-Авто"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Наименование запроса котировок: открытый запрос котировок в электронной форме без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 xml:space="preserve">квалификационного отбора на право заключения договора на оказание услуг по текущему ремонту электрооборудования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shd w:fill="auto" w:val="clear"/>
          <w:lang w:eastAsia="ru-RU"/>
        </w:rPr>
        <w:t>для нужд службы общественного питания ООО «Кольская АЭС-Авто»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>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 xml:space="preserve">Предмет договора: оказание услуг по текущему ремонту электрооборудования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shd w:fill="auto" w:val="clear"/>
          <w:lang w:eastAsia="ru-RU"/>
        </w:rPr>
        <w:t>для нужд службы общественного питания ООО «Кольская АЭС-Авто».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Состав и объем услуг: все необходимые сведения приведены в Томе 2 закупочной документации.</w:t>
      </w:r>
    </w:p>
    <w:p>
      <w:pPr>
        <w:pStyle w:val="Normal"/>
        <w:suppressAutoHyphens w:val="true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Срок оказания услуг: с момента заключения договора по 31.01.2026г.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 xml:space="preserve">Начальная (максимальная) цена договора: </w:t>
      </w:r>
    </w:p>
    <w:p>
      <w:pPr>
        <w:pStyle w:val="Normal"/>
        <w:keepLines/>
        <w:numPr>
          <w:ilvl w:val="0"/>
          <w:numId w:val="0"/>
        </w:numPr>
        <w:spacing w:lineRule="auto" w:line="276" w:before="120" w:after="0"/>
        <w:ind w:left="0" w:hanging="0"/>
        <w:jc w:val="both"/>
        <w:outlineLvl w:val="0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Начальная (максимальная) цена договора:</w:t>
      </w:r>
    </w:p>
    <w:p>
      <w:pPr>
        <w:pStyle w:val="Normal"/>
        <w:widowControl w:val="false"/>
        <w:spacing w:before="0" w:after="0"/>
        <w:jc w:val="both"/>
        <w:rPr>
          <w:rFonts w:ascii="Tinos" w:hAnsi="Tinos"/>
          <w:b w:val="false"/>
          <w:bCs w:val="false"/>
          <w:sz w:val="24"/>
          <w:szCs w:val="24"/>
        </w:rPr>
      </w:pPr>
      <w:r>
        <w:rPr>
          <w:rFonts w:ascii="Tinos" w:hAnsi="Tinos"/>
          <w:b w:val="false"/>
          <w:bCs w:val="false"/>
          <w:color w:val="000000"/>
          <w:sz w:val="24"/>
          <w:szCs w:val="24"/>
          <w:shd w:fill="auto" w:val="clear"/>
        </w:rPr>
        <w:t>600 000 (Шестьсот тысяч) рублей 00 копеек, включая НДС (НДС 20 %);</w:t>
      </w:r>
    </w:p>
    <w:p>
      <w:pPr>
        <w:pStyle w:val="Normal"/>
        <w:widowControl w:val="false"/>
        <w:spacing w:lineRule="auto" w:line="276" w:before="0" w:after="0"/>
        <w:jc w:val="both"/>
        <w:rPr>
          <w:rFonts w:ascii="Tinos" w:hAnsi="Tinos"/>
          <w:b w:val="false"/>
          <w:bCs w:val="false"/>
          <w:sz w:val="24"/>
          <w:szCs w:val="24"/>
        </w:rPr>
      </w:pPr>
      <w:r>
        <w:rPr>
          <w:rFonts w:eastAsia="Times New Roman" w:cs="Times New Roman" w:ascii="Tinos" w:hAnsi="Tinos"/>
          <w:b w:val="false"/>
          <w:bCs w:val="false"/>
          <w:i w:val="false"/>
          <w:iCs w:val="false"/>
          <w:color w:val="000000"/>
          <w:sz w:val="24"/>
          <w:szCs w:val="24"/>
          <w:shd w:fill="auto" w:val="clear"/>
          <w:lang w:eastAsia="ru-RU"/>
        </w:rPr>
        <w:t>500 000 (Пятьсот тысяч) рублей 00 копеек, без учета НДС.</w:t>
      </w:r>
    </w:p>
    <w:p>
      <w:pPr>
        <w:pStyle w:val="Normal"/>
        <w:keepLines/>
        <w:numPr>
          <w:ilvl w:val="0"/>
          <w:numId w:val="0"/>
        </w:numPr>
        <w:spacing w:lineRule="auto" w:line="240" w:before="120" w:after="0"/>
        <w:ind w:left="0" w:hanging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Извещение о проведении закупки (закупочная документация) опубликовано «28» июля 2025 года на официальном государственном сайте http://www.zakupki.gov.ru/, закупка №32515074770, на официальном сайте по закупкам атомной отрасли http://zakupki.rosatom.ru/, закупка № 107943, на </w:t>
      </w:r>
      <w:r>
        <w:rPr>
          <w:rStyle w:val="-"/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1"/>
          <w:sz w:val="24"/>
          <w:szCs w:val="24"/>
          <w:u w:val="none"/>
          <w:shd w:fill="auto" w:val="clear"/>
          <w:lang w:eastAsia="ru-RU"/>
        </w:rPr>
        <w:t xml:space="preserve">ЭТП </w:t>
      </w:r>
      <w:r>
        <w:rPr>
          <w:rStyle w:val="-"/>
          <w:rFonts w:eastAsia="Times New Roman" w:cs="Times New Roman" w:ascii="Tinos" w:hAnsi="Tinos"/>
          <w:b w:val="false"/>
          <w:bCs w:val="false"/>
          <w:i w:val="false"/>
          <w:iCs w:val="false"/>
          <w:color w:val="000000" w:themeColor="text1"/>
          <w:spacing w:val="1"/>
          <w:sz w:val="24"/>
          <w:szCs w:val="24"/>
          <w:u w:val="none"/>
          <w:shd w:fill="auto" w:val="clear"/>
          <w:lang w:eastAsia="ru-RU"/>
        </w:rPr>
        <w:t>АКЦИОНЕРНОЕ ОБЩЕСТВО «ЭЛЕКТРОННЫЕ ТОРГОВЫЕ СИСТЕМЫ»</w:t>
      </w:r>
      <w:r>
        <w:rPr>
          <w:rFonts w:ascii="Times New Roman" w:hAnsi="Times New Roman"/>
          <w:sz w:val="24"/>
          <w:szCs w:val="24"/>
        </w:rPr>
        <w:t>, закупка № 32515074770.</w:t>
      </w:r>
    </w:p>
    <w:p>
      <w:pPr>
        <w:pStyle w:val="Normal"/>
        <w:keepLines/>
        <w:numPr>
          <w:ilvl w:val="0"/>
          <w:numId w:val="0"/>
        </w:numPr>
        <w:spacing w:lineRule="auto" w:line="240" w:before="120" w:after="0"/>
        <w:ind w:left="0" w:hanging="0"/>
        <w:jc w:val="both"/>
        <w:outlineLvl w:val="0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Заседание закупочной комиссии проводится 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auto" w:val="clear"/>
          <w:lang w:eastAsia="ar-SA"/>
        </w:rPr>
        <w:t xml:space="preserve"> 09:00 (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время московское) «07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auto" w:val="clear"/>
          <w:lang w:eastAsia="ar-SA"/>
        </w:rPr>
        <w:t>»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 августа 2025 года, по адресу: 184230, РФ, Мурманская область, г. Полярные Зори, ул. Промышленная, д. 4/1.</w:t>
      </w:r>
    </w:p>
    <w:p>
      <w:pPr>
        <w:pStyle w:val="Normal"/>
        <w:keepLines/>
        <w:numPr>
          <w:ilvl w:val="0"/>
          <w:numId w:val="0"/>
        </w:numPr>
        <w:spacing w:lineRule="auto" w:line="240" w:before="12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В заседании принимают участие: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936"/>
        <w:gridCol w:w="5984"/>
      </w:tblGrid>
      <w:tr>
        <w:trPr>
          <w:trHeight w:val="340" w:hRule="exact"/>
        </w:trPr>
        <w:tc>
          <w:tcPr>
            <w:tcW w:w="39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5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>
        <w:trPr>
          <w:trHeight w:val="340" w:hRule="atLeast"/>
        </w:trPr>
        <w:tc>
          <w:tcPr>
            <w:tcW w:w="992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>
        <w:trPr>
          <w:trHeight w:val="340" w:hRule="exact"/>
        </w:trPr>
        <w:tc>
          <w:tcPr>
            <w:tcW w:w="39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sz w:val="24"/>
                <w:szCs w:val="24"/>
              </w:rPr>
              <w:t>Вощиков А. В.</w:t>
            </w:r>
          </w:p>
        </w:tc>
        <w:tc>
          <w:tcPr>
            <w:tcW w:w="5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sz w:val="24"/>
                <w:szCs w:val="24"/>
              </w:rPr>
              <w:t>Первый зам. генерального директора</w:t>
            </w:r>
          </w:p>
        </w:tc>
      </w:tr>
      <w:tr>
        <w:trPr>
          <w:trHeight w:val="340" w:hRule="exact"/>
        </w:trPr>
        <w:tc>
          <w:tcPr>
            <w:tcW w:w="9920" w:type="dxa"/>
            <w:gridSpan w:val="2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 w:eastAsiaTheme="minorHAnsi"/>
                <w:bCs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bCs/>
                <w:sz w:val="24"/>
                <w:szCs w:val="24"/>
                <w:shd w:fill="auto" w:val="clear"/>
              </w:rPr>
              <w:t>Заместитель Председателя закупочной комиссии:</w:t>
            </w:r>
          </w:p>
        </w:tc>
      </w:tr>
      <w:tr>
        <w:trPr>
          <w:trHeight w:val="340" w:hRule="exact"/>
        </w:trPr>
        <w:tc>
          <w:tcPr>
            <w:tcW w:w="393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sz w:val="24"/>
                <w:szCs w:val="24"/>
              </w:rPr>
              <w:t xml:space="preserve">Анисимов </w:t>
            </w:r>
            <w:r>
              <w:rPr>
                <w:rFonts w:eastAsia="Calibri" w:cs="Times New Roman" w:ascii="Times New Roman" w:hAnsi="Times New Roman" w:eastAsiaTheme="minorHAnsi"/>
                <w:bCs/>
                <w:sz w:val="24"/>
                <w:szCs w:val="24"/>
                <w:shd w:fill="auto" w:val="clear"/>
              </w:rPr>
              <w:t>Н.В.</w:t>
            </w:r>
          </w:p>
        </w:tc>
        <w:tc>
          <w:tcPr>
            <w:tcW w:w="598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sz w:val="24"/>
                <w:szCs w:val="24"/>
              </w:rPr>
              <w:t>Главный инженер</w:t>
            </w:r>
          </w:p>
        </w:tc>
      </w:tr>
      <w:tr>
        <w:trPr>
          <w:trHeight w:val="340" w:hRule="atLeast"/>
        </w:trPr>
        <w:tc>
          <w:tcPr>
            <w:tcW w:w="992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</w:rPr>
              <w:t>Члены закупочной комиссии:</w:t>
            </w:r>
          </w:p>
        </w:tc>
      </w:tr>
      <w:tr>
        <w:trPr>
          <w:trHeight w:val="340" w:hRule="exact"/>
        </w:trPr>
        <w:tc>
          <w:tcPr>
            <w:tcW w:w="39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Эксузьян О.А.</w:t>
            </w:r>
          </w:p>
        </w:tc>
        <w:tc>
          <w:tcPr>
            <w:tcW w:w="5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Главный бухгалтер</w:t>
            </w:r>
          </w:p>
        </w:tc>
      </w:tr>
      <w:tr>
        <w:trPr>
          <w:trHeight w:val="340" w:hRule="exact"/>
        </w:trPr>
        <w:tc>
          <w:tcPr>
            <w:tcW w:w="393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Королева Н.Н.</w:t>
            </w:r>
          </w:p>
        </w:tc>
        <w:tc>
          <w:tcPr>
            <w:tcW w:w="598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Старший специалист ООЗиМТО</w:t>
            </w:r>
          </w:p>
        </w:tc>
      </w:tr>
      <w:tr>
        <w:trPr>
          <w:trHeight w:val="340" w:hRule="exact"/>
        </w:trPr>
        <w:tc>
          <w:tcPr>
            <w:tcW w:w="393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Лисицына О.Н.</w:t>
            </w:r>
          </w:p>
        </w:tc>
        <w:tc>
          <w:tcPr>
            <w:tcW w:w="598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Руководитель ГБиФК</w:t>
            </w:r>
          </w:p>
        </w:tc>
      </w:tr>
      <w:tr>
        <w:trPr>
          <w:trHeight w:val="340" w:hRule="atLeast"/>
        </w:trPr>
        <w:tc>
          <w:tcPr>
            <w:tcW w:w="992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</w:rPr>
              <w:t>Секретарь закупочной комиссии с правом голоса</w:t>
            </w:r>
          </w:p>
        </w:tc>
      </w:tr>
      <w:tr>
        <w:trPr>
          <w:trHeight w:val="340" w:hRule="exact"/>
        </w:trPr>
        <w:tc>
          <w:tcPr>
            <w:tcW w:w="39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Андронова С.А.</w:t>
            </w:r>
          </w:p>
        </w:tc>
        <w:tc>
          <w:tcPr>
            <w:tcW w:w="5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ООЗиМТО</w:t>
            </w:r>
          </w:p>
        </w:tc>
      </w:tr>
    </w:tbl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Заседание проводится в присутствии 6</w:t>
      </w: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  <w:t xml:space="preserve"> из 8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членов закупочной комиссии. 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Кворум имеется.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252" w:leader="none"/>
        </w:tabs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Срок окончания подачи заявок на участие в закупке 08:00 (время московское) </w:t>
      </w:r>
      <w:r>
        <w:rPr>
          <w:rFonts w:ascii="Times New Roman" w:hAnsi="Times New Roman"/>
          <w:bCs/>
          <w:sz w:val="24"/>
          <w:szCs w:val="24"/>
          <w:lang w:eastAsia="ar-SA"/>
        </w:rPr>
        <w:t>«06» августа 2025</w:t>
      </w:r>
      <w:r>
        <w:rPr>
          <w:rFonts w:ascii="Times New Roman" w:hAnsi="Times New Roman"/>
          <w:sz w:val="24"/>
          <w:szCs w:val="24"/>
          <w:lang w:eastAsia="ar-SA"/>
        </w:rPr>
        <w:t xml:space="preserve"> года.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</w:t>
      </w:r>
      <w:r>
        <w:rPr>
          <w:rStyle w:val="-"/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1"/>
          <w:sz w:val="24"/>
          <w:szCs w:val="24"/>
          <w:u w:val="none"/>
          <w:shd w:fill="auto" w:val="clear"/>
          <w:lang w:eastAsia="ru-RU"/>
        </w:rPr>
        <w:t xml:space="preserve">ЭТП </w:t>
      </w:r>
      <w:r>
        <w:rPr>
          <w:rStyle w:val="-"/>
          <w:rFonts w:eastAsia="Times New Roman" w:cs="Times New Roman" w:ascii="Tinos" w:hAnsi="Tinos"/>
          <w:b w:val="false"/>
          <w:bCs w:val="false"/>
          <w:i w:val="false"/>
          <w:iCs w:val="false"/>
          <w:color w:val="000000" w:themeColor="text1"/>
          <w:spacing w:val="1"/>
          <w:sz w:val="24"/>
          <w:szCs w:val="24"/>
          <w:u w:val="none"/>
          <w:shd w:fill="auto" w:val="clear"/>
          <w:lang w:eastAsia="ru-RU"/>
        </w:rPr>
        <w:t>АКЦИОНЕРНОЕ ОБЩЕСТВО «ЭЛЕКТРОННЫЕ ТОРГОВЫЕ СИСТЕМЫ»</w:t>
      </w:r>
      <w:r>
        <w:rPr>
          <w:rFonts w:ascii="Times New Roman" w:hAnsi="Times New Roman"/>
          <w:sz w:val="24"/>
          <w:szCs w:val="24"/>
          <w:lang w:eastAsia="ar-SA"/>
        </w:rPr>
        <w:t xml:space="preserve"> заявок на участие в закупке: 1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2004"/>
        <w:gridCol w:w="3611"/>
        <w:gridCol w:w="1825"/>
        <w:gridCol w:w="2480"/>
      </w:tblGrid>
      <w:tr>
        <w:trPr/>
        <w:tc>
          <w:tcPr>
            <w:tcW w:w="20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Рег. № заявки на ЭТП</w:t>
            </w:r>
          </w:p>
        </w:tc>
        <w:tc>
          <w:tcPr>
            <w:tcW w:w="36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Участник</w:t>
            </w:r>
            <w:r>
              <w:rPr>
                <w:rFonts w:cs="" w:ascii="Times New Roman" w:hAnsi="Times New Roman" w:cstheme="minorBidi"/>
                <w:b/>
                <w:bCs/>
                <w:sz w:val="24"/>
                <w:szCs w:val="24"/>
                <w:shd w:fill="auto" w:val="clear"/>
              </w:rPr>
              <w:t xml:space="preserve"> закупки</w:t>
            </w:r>
          </w:p>
        </w:tc>
        <w:tc>
          <w:tcPr>
            <w:tcW w:w="18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  <w:tc>
          <w:tcPr>
            <w:tcW w:w="24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Ценовое предложение, сделанное участником закупки</w:t>
            </w:r>
          </w:p>
        </w:tc>
      </w:tr>
      <w:tr>
        <w:trPr>
          <w:trHeight w:val="2025" w:hRule="atLeast"/>
        </w:trPr>
        <w:tc>
          <w:tcPr>
            <w:tcW w:w="20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32515074770-1-1</w:t>
            </w:r>
          </w:p>
        </w:tc>
        <w:tc>
          <w:tcPr>
            <w:tcW w:w="36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"КОМПЛЕКС ТРЕЙД"</w:t>
            </w:r>
          </w:p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ИНН: 5190015202</w:t>
            </w:r>
          </w:p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Адрес: Российская Федерация, 183025, Мурманская обл.,            г. Мурманск, ул. Капитана Буркова, д.51а</w:t>
            </w:r>
          </w:p>
        </w:tc>
        <w:tc>
          <w:tcPr>
            <w:tcW w:w="18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«01» августа 2025 года</w:t>
            </w:r>
            <w:r>
              <w:rPr>
                <w:rFonts w:cs="" w:ascii="Times New Roman" w:hAnsi="Times New Roman" w:cstheme="minorBidi"/>
                <w:sz w:val="24"/>
                <w:szCs w:val="24"/>
                <w:shd w:fill="auto" w:val="clear"/>
              </w:rPr>
              <w:t xml:space="preserve"> 10:01 </w:t>
            </w:r>
            <w:r>
              <w:rPr>
                <w:rFonts w:ascii="Times New Roman" w:hAnsi="Times New Roman"/>
                <w:sz w:val="24"/>
                <w:szCs w:val="24"/>
              </w:rPr>
              <w:t>(время московское)</w:t>
            </w:r>
          </w:p>
        </w:tc>
        <w:tc>
          <w:tcPr>
            <w:tcW w:w="24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Цены за единицу по позициям указаны в Приложении 1</w:t>
            </w:r>
          </w:p>
        </w:tc>
      </w:tr>
    </w:tbl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По результатам рассмотрения заявки на участие в запросе котировок на отборочной стадии закупочной комиссией были приняты следующие решения: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1.</w:t>
        <w:tab/>
        <w:t>В соответствии с п. 7.8 Закупочной документации допустить к дальнейшему участию в запросе котировок участника Общество с ограниченной ответственностью "КОМПЛЕКС ТРЕЙД" , отвечающего требованиям документации по запросу котировок.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2.</w:t>
        <w:tab/>
        <w:t>В соответствии с пп. а) п. 1.1 статьи 6.4 главы 6 ЕОСЗ признать запрос котировок несостоявшимся - подана только одна заявка от одного участника.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 xml:space="preserve">Закупочная комиссия: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>
      <w:pPr>
        <w:pStyle w:val="Normal"/>
        <w:keepLines/>
        <w:numPr>
          <w:ilvl w:val="0"/>
          <w:numId w:val="1"/>
        </w:numPr>
        <w:tabs>
          <w:tab w:val="clear" w:pos="708"/>
          <w:tab w:val="left" w:pos="851" w:leader="none"/>
        </w:tabs>
        <w:spacing w:lineRule="auto" w:line="240" w:before="0" w:after="0"/>
        <w:ind w:left="0" w:firstLine="85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подтверждает, что не имеет связей, носящих характер аффилированности с участниками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, вопрос о которых вынесен на заседание закупочной комиссии;</w:t>
      </w:r>
    </w:p>
    <w:p>
      <w:pPr>
        <w:pStyle w:val="Normal"/>
        <w:keepLines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left="1287" w:hanging="436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подтверждает объективность принимаемых решений;</w:t>
      </w:r>
    </w:p>
    <w:p>
      <w:pPr>
        <w:pStyle w:val="Normal"/>
        <w:keepLines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left="1287" w:hanging="436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заявляет об отсутствии личной заинтересованности в исходе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;</w:t>
      </w:r>
    </w:p>
    <w:p>
      <w:pPr>
        <w:pStyle w:val="Normal"/>
        <w:keepLines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left="1287" w:hanging="436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принимает на себя обязательства:</w:t>
      </w:r>
    </w:p>
    <w:p>
      <w:pPr>
        <w:pStyle w:val="Normal"/>
        <w:keepLines/>
        <w:numPr>
          <w:ilvl w:val="0"/>
          <w:numId w:val="2"/>
        </w:numPr>
        <w:spacing w:lineRule="auto" w:line="240" w:before="0" w:after="0"/>
        <w:ind w:left="0" w:firstLine="993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не допускать во время проведения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предоставления сведений о предложениях участников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, ходе проведения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документацией по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запросу котировок;</w:t>
      </w:r>
    </w:p>
    <w:p>
      <w:pPr>
        <w:pStyle w:val="Normal"/>
        <w:keepLines/>
        <w:numPr>
          <w:ilvl w:val="0"/>
          <w:numId w:val="2"/>
        </w:numPr>
        <w:spacing w:lineRule="auto" w:line="240" w:before="0" w:after="0"/>
        <w:ind w:left="0" w:firstLine="993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не координировать деятельность участников в рамках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;</w:t>
      </w:r>
    </w:p>
    <w:p>
      <w:pPr>
        <w:pStyle w:val="Normal"/>
        <w:keepLines/>
        <w:numPr>
          <w:ilvl w:val="0"/>
          <w:numId w:val="2"/>
        </w:numPr>
        <w:spacing w:lineRule="auto" w:line="240" w:before="0" w:after="200"/>
        <w:ind w:left="0" w:firstLine="993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не проводить переговоров с участниками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, кроме случаев, прямо предусмотренных условиями проведения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.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Согласовано членами закупочной комиссии в Единой отраслевой системе электронного документооборота.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4015"/>
        <w:gridCol w:w="3930"/>
        <w:gridCol w:w="1976"/>
      </w:tblGrid>
      <w:tr>
        <w:trPr>
          <w:trHeight w:val="336" w:hRule="atLeast"/>
        </w:trPr>
        <w:tc>
          <w:tcPr>
            <w:tcW w:w="40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eastAsia="Calibri"/>
                <w:b/>
                <w:bCs/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eastAsia="Calibri"/>
                <w:b/>
                <w:bCs/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eastAsia="Calibri"/>
                <w:b/>
                <w:bCs/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>
        <w:trPr>
          <w:trHeight w:val="393" w:hRule="atLeast"/>
        </w:trPr>
        <w:tc>
          <w:tcPr>
            <w:tcW w:w="9921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Times New Roman" w:hAnsi="Times New Roman" w:eastAsia="Calibri"/>
                <w:b/>
                <w:bCs/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Секретарь закупочной комиссии (с правом голоса)</w:t>
            </w:r>
          </w:p>
        </w:tc>
      </w:tr>
      <w:tr>
        <w:trPr>
          <w:trHeight w:val="458" w:hRule="atLeast"/>
        </w:trPr>
        <w:tc>
          <w:tcPr>
            <w:tcW w:w="40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Андронова С.А.</w:t>
            </w:r>
          </w:p>
        </w:tc>
        <w:tc>
          <w:tcPr>
            <w:tcW w:w="3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Специалист ООЗиМТО</w:t>
            </w:r>
          </w:p>
        </w:tc>
        <w:tc>
          <w:tcPr>
            <w:tcW w:w="1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tbl>
      <w:tblPr>
        <w:tblW w:w="10329" w:type="dxa"/>
        <w:jc w:val="left"/>
        <w:tblInd w:w="-30" w:type="dxa"/>
        <w:tblLayout w:type="fixed"/>
        <w:tblCellMar>
          <w:top w:w="0" w:type="dxa"/>
          <w:left w:w="2" w:type="dxa"/>
          <w:bottom w:w="0" w:type="dxa"/>
          <w:right w:w="2" w:type="dxa"/>
        </w:tblCellMar>
      </w:tblPr>
      <w:tblGrid>
        <w:gridCol w:w="568"/>
        <w:gridCol w:w="5676"/>
        <w:gridCol w:w="1812"/>
        <w:gridCol w:w="2272"/>
      </w:tblGrid>
      <w:tr>
        <w:trPr>
          <w:trHeight w:val="945" w:hRule="atLeast"/>
        </w:trPr>
        <w:tc>
          <w:tcPr>
            <w:tcW w:w="103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b/>
                <w:i/>
              </w:rPr>
              <w:t>Приложение №1 к протоколу № 32515074770/1 от 07.08.2025г. заседания закупочной комиссии по подведению итогов закупки на право заключения договора на оказание услуг по текущему ремонту электрооборудования для нужд службы общественного питания ООО «Кольская АЭС-Авто»</w:t>
            </w:r>
          </w:p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/>
            </w:r>
          </w:p>
        </w:tc>
      </w:tr>
      <w:tr>
        <w:trPr>
          <w:trHeight w:val="660" w:hRule="atLeast"/>
        </w:trPr>
        <w:tc>
          <w:tcPr>
            <w:tcW w:w="56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 xml:space="preserve">№ </w:t>
            </w:r>
            <w:r>
              <w:rPr>
                <w:rFonts w:ascii="Tinos" w:hAnsi="Tinos"/>
              </w:rPr>
              <w:t>п/п</w:t>
            </w:r>
          </w:p>
        </w:tc>
        <w:tc>
          <w:tcPr>
            <w:tcW w:w="567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  <w:b/>
                <w:i/>
              </w:rPr>
              <w:t>Наименование МТРиО, работ, услуг</w:t>
            </w:r>
          </w:p>
        </w:tc>
        <w:tc>
          <w:tcPr>
            <w:tcW w:w="1812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b/>
              </w:rPr>
              <w:t>НМЦ за ед. без НДС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b/>
                <w:i/>
              </w:rPr>
              <w:t>ООО "Комплекс Трейд"</w:t>
            </w:r>
          </w:p>
        </w:tc>
      </w:tr>
      <w:tr>
        <w:trPr>
          <w:trHeight w:val="1140" w:hRule="atLeast"/>
        </w:trPr>
        <w:tc>
          <w:tcPr>
            <w:tcW w:w="568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</w:r>
          </w:p>
        </w:tc>
        <w:tc>
          <w:tcPr>
            <w:tcW w:w="5676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  <w:b/>
                <w:i/>
                <w:i/>
              </w:rPr>
            </w:pPr>
            <w:r>
              <w:rPr>
                <w:rFonts w:ascii="Tinos" w:hAnsi="Tinos"/>
                <w:b/>
                <w:i/>
              </w:rPr>
            </w:r>
          </w:p>
        </w:tc>
        <w:tc>
          <w:tcPr>
            <w:tcW w:w="1812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  <w:b/>
              </w:rPr>
            </w:pPr>
            <w:r>
              <w:rPr>
                <w:rFonts w:ascii="Tinos" w:hAnsi="Tinos"/>
                <w:b/>
              </w:rPr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Цена позиции за ед. руб. без  НДС</w:t>
            </w:r>
          </w:p>
        </w:tc>
      </w:tr>
      <w:tr>
        <w:trPr>
          <w:trHeight w:val="390" w:hRule="atLeast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before="0" w:after="0"/>
              <w:contextualSpacing/>
              <w:jc w:val="center"/>
              <w:rPr>
                <w:sz w:val="24"/>
              </w:rPr>
            </w:pPr>
            <w:r>
              <w:rPr>
                <w:rFonts w:ascii="Tinos" w:hAnsi="Tinos"/>
                <w:color w:val="000000"/>
                <w:kern w:val="0"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56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left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Диагностика (выявление неисправностей)</w:t>
            </w:r>
          </w:p>
        </w:tc>
        <w:tc>
          <w:tcPr>
            <w:tcW w:w="18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3 103,11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pacing w:before="0" w:after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3 102,97</w:t>
            </w:r>
          </w:p>
        </w:tc>
      </w:tr>
      <w:tr>
        <w:trPr>
          <w:trHeight w:val="488" w:hRule="atLeast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before="0" w:after="0"/>
              <w:contextualSpacing/>
              <w:jc w:val="center"/>
              <w:rPr>
                <w:sz w:val="24"/>
              </w:rPr>
            </w:pPr>
            <w:r>
              <w:rPr>
                <w:rFonts w:ascii="Tinos" w:hAnsi="Tinos"/>
                <w:color w:val="000000"/>
                <w:kern w:val="0"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56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left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Замена отдельных узлов и деталей с частичной разборкой оборудования</w:t>
            </w:r>
          </w:p>
        </w:tc>
        <w:tc>
          <w:tcPr>
            <w:tcW w:w="18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5 232,97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pacing w:before="0" w:after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5 232,92</w:t>
            </w:r>
          </w:p>
        </w:tc>
      </w:tr>
      <w:tr>
        <w:trPr>
          <w:trHeight w:val="315" w:hRule="atLeast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before="0" w:after="0"/>
              <w:contextualSpacing/>
              <w:jc w:val="center"/>
              <w:rPr>
                <w:sz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</w:t>
            </w:r>
          </w:p>
        </w:tc>
        <w:tc>
          <w:tcPr>
            <w:tcW w:w="56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left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Восстановление (замена) электрошнура</w:t>
            </w:r>
          </w:p>
        </w:tc>
        <w:tc>
          <w:tcPr>
            <w:tcW w:w="18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1 272,20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pacing w:before="0" w:after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1 271,03</w:t>
            </w:r>
          </w:p>
        </w:tc>
      </w:tr>
      <w:tr>
        <w:trPr>
          <w:trHeight w:val="330" w:hRule="atLeast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before="0" w:after="0"/>
              <w:contextualSpacing/>
              <w:jc w:val="center"/>
              <w:rPr>
                <w:sz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left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Замена уплотнительной резины</w:t>
            </w:r>
          </w:p>
        </w:tc>
        <w:tc>
          <w:tcPr>
            <w:tcW w:w="18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2 361,61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pacing w:before="0" w:after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2 360,49</w:t>
            </w:r>
          </w:p>
        </w:tc>
      </w:tr>
      <w:tr>
        <w:trPr>
          <w:trHeight w:val="300" w:hRule="atLeast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before="0" w:after="0"/>
              <w:contextualSpacing/>
              <w:jc w:val="center"/>
              <w:rPr>
                <w:sz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5</w:t>
            </w:r>
          </w:p>
        </w:tc>
        <w:tc>
          <w:tcPr>
            <w:tcW w:w="56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left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Восстановление (замена) нагревательных элементов</w:t>
            </w:r>
          </w:p>
        </w:tc>
        <w:tc>
          <w:tcPr>
            <w:tcW w:w="18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3 450,01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pacing w:before="0" w:after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3 449,93</w:t>
            </w:r>
          </w:p>
        </w:tc>
      </w:tr>
      <w:tr>
        <w:trPr>
          <w:trHeight w:val="300" w:hRule="atLeast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before="0" w:after="0"/>
              <w:contextualSpacing/>
              <w:jc w:val="center"/>
              <w:rPr>
                <w:sz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6</w:t>
            </w:r>
          </w:p>
        </w:tc>
        <w:tc>
          <w:tcPr>
            <w:tcW w:w="56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left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Замена реле</w:t>
            </w:r>
          </w:p>
        </w:tc>
        <w:tc>
          <w:tcPr>
            <w:tcW w:w="18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3 127,87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pacing w:before="0" w:after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3 127,14</w:t>
            </w:r>
          </w:p>
        </w:tc>
      </w:tr>
      <w:tr>
        <w:trPr>
          <w:trHeight w:val="300" w:hRule="atLeast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before="0" w:after="0"/>
              <w:contextualSpacing/>
              <w:jc w:val="center"/>
              <w:rPr>
                <w:sz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7</w:t>
            </w:r>
          </w:p>
        </w:tc>
        <w:tc>
          <w:tcPr>
            <w:tcW w:w="56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left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Замена фильтра воздушного</w:t>
            </w:r>
          </w:p>
        </w:tc>
        <w:tc>
          <w:tcPr>
            <w:tcW w:w="18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1 090,75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pacing w:before="0" w:after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1 089,47</w:t>
            </w:r>
          </w:p>
        </w:tc>
      </w:tr>
      <w:tr>
        <w:trPr>
          <w:trHeight w:val="300" w:hRule="atLeast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before="0" w:after="0"/>
              <w:contextualSpacing/>
              <w:jc w:val="center"/>
              <w:rPr>
                <w:sz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8</w:t>
            </w:r>
          </w:p>
        </w:tc>
        <w:tc>
          <w:tcPr>
            <w:tcW w:w="56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left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Замена масла</w:t>
            </w:r>
          </w:p>
        </w:tc>
        <w:tc>
          <w:tcPr>
            <w:tcW w:w="18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3 255,28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pacing w:before="0" w:after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3 253,24</w:t>
            </w:r>
          </w:p>
        </w:tc>
      </w:tr>
      <w:tr>
        <w:trPr>
          <w:trHeight w:val="300" w:hRule="atLeast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before="0" w:after="0"/>
              <w:contextualSpacing/>
              <w:jc w:val="center"/>
              <w:rPr>
                <w:sz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9</w:t>
            </w:r>
          </w:p>
        </w:tc>
        <w:tc>
          <w:tcPr>
            <w:tcW w:w="56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left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Замена тэнов</w:t>
            </w:r>
          </w:p>
        </w:tc>
        <w:tc>
          <w:tcPr>
            <w:tcW w:w="18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3 450,01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pacing w:before="0" w:after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3 449,93</w:t>
            </w:r>
          </w:p>
        </w:tc>
      </w:tr>
      <w:tr>
        <w:trPr>
          <w:trHeight w:val="300" w:hRule="atLeast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before="0" w:after="0"/>
              <w:contextualSpacing/>
              <w:jc w:val="center"/>
              <w:rPr>
                <w:sz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left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Замена термостата</w:t>
            </w:r>
          </w:p>
        </w:tc>
        <w:tc>
          <w:tcPr>
            <w:tcW w:w="18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1 970,79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pacing w:before="0" w:after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1 967,08</w:t>
            </w:r>
          </w:p>
        </w:tc>
      </w:tr>
      <w:tr>
        <w:trPr>
          <w:trHeight w:val="300" w:hRule="atLeast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before="0" w:after="0"/>
              <w:contextualSpacing/>
              <w:jc w:val="center"/>
              <w:rPr>
                <w:sz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left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Замена переключателей</w:t>
            </w:r>
          </w:p>
        </w:tc>
        <w:tc>
          <w:tcPr>
            <w:tcW w:w="18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1 970,79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pacing w:before="0" w:after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1 967,08</w:t>
            </w:r>
          </w:p>
        </w:tc>
      </w:tr>
      <w:tr>
        <w:trPr>
          <w:trHeight w:val="300" w:hRule="atLeast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before="0" w:after="0"/>
              <w:contextualSpacing/>
              <w:jc w:val="center"/>
              <w:rPr>
                <w:sz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left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Замена конфорок</w:t>
            </w:r>
          </w:p>
        </w:tc>
        <w:tc>
          <w:tcPr>
            <w:tcW w:w="18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2 303,79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pacing w:before="0" w:after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2 299,96</w:t>
            </w:r>
          </w:p>
        </w:tc>
      </w:tr>
      <w:tr>
        <w:trPr>
          <w:trHeight w:val="300" w:hRule="atLeast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before="0" w:after="0"/>
              <w:contextualSpacing/>
              <w:jc w:val="center"/>
              <w:rPr>
                <w:sz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left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Замена (восстановление) запасных частей для кофемашин</w:t>
            </w:r>
          </w:p>
        </w:tc>
        <w:tc>
          <w:tcPr>
            <w:tcW w:w="18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3 430,30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pacing w:before="0" w:after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3 429,76</w:t>
            </w:r>
          </w:p>
        </w:tc>
      </w:tr>
      <w:tr>
        <w:trPr>
          <w:trHeight w:val="300" w:hRule="atLeast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before="0" w:after="0"/>
              <w:contextualSpacing/>
              <w:jc w:val="center"/>
              <w:rPr>
                <w:sz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left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Ремонт электродвигателя</w:t>
            </w:r>
          </w:p>
        </w:tc>
        <w:tc>
          <w:tcPr>
            <w:tcW w:w="18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70 811,15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pacing w:before="0" w:after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70 612,87</w:t>
            </w:r>
          </w:p>
        </w:tc>
      </w:tr>
      <w:tr>
        <w:trPr>
          <w:trHeight w:val="300" w:hRule="atLeast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before="0" w:after="0"/>
              <w:contextualSpacing/>
              <w:jc w:val="center"/>
              <w:rPr>
                <w:sz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15</w:t>
            </w:r>
          </w:p>
        </w:tc>
        <w:tc>
          <w:tcPr>
            <w:tcW w:w="56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left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Замена (восстановление) ремня</w:t>
            </w:r>
          </w:p>
        </w:tc>
        <w:tc>
          <w:tcPr>
            <w:tcW w:w="18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3 255,28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pacing w:before="0" w:after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3 253,24</w:t>
            </w:r>
          </w:p>
        </w:tc>
      </w:tr>
      <w:tr>
        <w:trPr>
          <w:trHeight w:val="300" w:hRule="atLeast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before="0" w:after="0"/>
              <w:contextualSpacing/>
              <w:jc w:val="center"/>
              <w:rPr>
                <w:sz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16</w:t>
            </w:r>
          </w:p>
        </w:tc>
        <w:tc>
          <w:tcPr>
            <w:tcW w:w="56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left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Замена подшипников</w:t>
            </w:r>
          </w:p>
        </w:tc>
        <w:tc>
          <w:tcPr>
            <w:tcW w:w="18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3 693,63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pacing w:before="0" w:after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3 692,04</w:t>
            </w:r>
          </w:p>
        </w:tc>
      </w:tr>
      <w:tr>
        <w:trPr>
          <w:trHeight w:val="300" w:hRule="atLeast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before="0" w:after="0"/>
              <w:contextualSpacing/>
              <w:jc w:val="center"/>
              <w:rPr>
                <w:sz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17</w:t>
            </w:r>
          </w:p>
        </w:tc>
        <w:tc>
          <w:tcPr>
            <w:tcW w:w="56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left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Замена пружин</w:t>
            </w:r>
          </w:p>
        </w:tc>
        <w:tc>
          <w:tcPr>
            <w:tcW w:w="18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2 361,61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pacing w:before="0" w:after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2 360,49</w:t>
            </w:r>
          </w:p>
        </w:tc>
      </w:tr>
      <w:tr>
        <w:trPr>
          <w:trHeight w:val="300" w:hRule="atLeast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before="0" w:after="0"/>
              <w:contextualSpacing/>
              <w:jc w:val="center"/>
              <w:rPr>
                <w:sz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18</w:t>
            </w:r>
          </w:p>
        </w:tc>
        <w:tc>
          <w:tcPr>
            <w:tcW w:w="56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left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Замена дисков</w:t>
            </w:r>
          </w:p>
        </w:tc>
        <w:tc>
          <w:tcPr>
            <w:tcW w:w="18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2 827,12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pacing w:before="0" w:after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2 824,52</w:t>
            </w:r>
          </w:p>
        </w:tc>
      </w:tr>
      <w:tr>
        <w:trPr>
          <w:trHeight w:val="510" w:hRule="atLeast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before="0" w:after="0"/>
              <w:contextualSpacing/>
              <w:jc w:val="center"/>
              <w:rPr>
                <w:sz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19</w:t>
            </w:r>
          </w:p>
        </w:tc>
        <w:tc>
          <w:tcPr>
            <w:tcW w:w="56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114" w:after="114"/>
              <w:jc w:val="left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Замена (восстановление) шлангов</w:t>
            </w:r>
          </w:p>
        </w:tc>
        <w:tc>
          <w:tcPr>
            <w:tcW w:w="18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2 361,61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pacing w:before="0" w:after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2 360,49</w:t>
            </w:r>
          </w:p>
        </w:tc>
      </w:tr>
      <w:tr>
        <w:trPr>
          <w:trHeight w:val="300" w:hRule="atLeast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before="0" w:after="0"/>
              <w:contextualSpacing/>
              <w:jc w:val="center"/>
              <w:rPr>
                <w:sz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20</w:t>
            </w:r>
          </w:p>
        </w:tc>
        <w:tc>
          <w:tcPr>
            <w:tcW w:w="56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left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Замена вала</w:t>
            </w:r>
          </w:p>
        </w:tc>
        <w:tc>
          <w:tcPr>
            <w:tcW w:w="18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4 944,11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pacing w:before="0" w:after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4 942,90</w:t>
            </w:r>
          </w:p>
        </w:tc>
      </w:tr>
      <w:tr>
        <w:trPr>
          <w:trHeight w:val="300" w:hRule="atLeast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21</w:t>
            </w:r>
          </w:p>
        </w:tc>
        <w:tc>
          <w:tcPr>
            <w:tcW w:w="56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left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Восстановление (замена)двигателя</w:t>
            </w:r>
          </w:p>
        </w:tc>
        <w:tc>
          <w:tcPr>
            <w:tcW w:w="18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7 366,88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pacing w:before="0" w:after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7 363,92</w:t>
            </w:r>
          </w:p>
        </w:tc>
      </w:tr>
      <w:tr>
        <w:trPr>
          <w:trHeight w:val="300" w:hRule="atLeast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22</w:t>
            </w:r>
          </w:p>
        </w:tc>
        <w:tc>
          <w:tcPr>
            <w:tcW w:w="56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left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Замена болта, винта</w:t>
            </w:r>
          </w:p>
        </w:tc>
        <w:tc>
          <w:tcPr>
            <w:tcW w:w="18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2 303,79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pacing w:before="0" w:after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2 299,96</w:t>
            </w:r>
          </w:p>
        </w:tc>
      </w:tr>
      <w:tr>
        <w:trPr>
          <w:trHeight w:val="300" w:hRule="atLeast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23</w:t>
            </w:r>
          </w:p>
        </w:tc>
        <w:tc>
          <w:tcPr>
            <w:tcW w:w="56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left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Замена сальников</w:t>
            </w:r>
          </w:p>
        </w:tc>
        <w:tc>
          <w:tcPr>
            <w:tcW w:w="18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4 944,11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pacing w:before="0" w:after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4 942,90</w:t>
            </w:r>
          </w:p>
        </w:tc>
      </w:tr>
      <w:tr>
        <w:trPr>
          <w:trHeight w:val="300" w:hRule="atLeast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24</w:t>
            </w:r>
          </w:p>
        </w:tc>
        <w:tc>
          <w:tcPr>
            <w:tcW w:w="56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left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Замена помпы (насоса)</w:t>
            </w:r>
          </w:p>
        </w:tc>
        <w:tc>
          <w:tcPr>
            <w:tcW w:w="18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3 450,01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pacing w:before="0" w:after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3 449,93</w:t>
            </w:r>
          </w:p>
        </w:tc>
      </w:tr>
      <w:tr>
        <w:trPr>
          <w:trHeight w:val="300" w:hRule="atLeast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25</w:t>
            </w:r>
          </w:p>
        </w:tc>
        <w:tc>
          <w:tcPr>
            <w:tcW w:w="56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left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Восстановление (замена) перемотки электродвигателя</w:t>
            </w:r>
          </w:p>
        </w:tc>
        <w:tc>
          <w:tcPr>
            <w:tcW w:w="18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30 276,20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pacing w:before="0" w:after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30 262,65</w:t>
            </w:r>
          </w:p>
        </w:tc>
      </w:tr>
      <w:tr>
        <w:trPr>
          <w:trHeight w:val="300" w:hRule="atLeast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26</w:t>
            </w:r>
          </w:p>
        </w:tc>
        <w:tc>
          <w:tcPr>
            <w:tcW w:w="56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left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Замена ремня конического</w:t>
            </w:r>
          </w:p>
        </w:tc>
        <w:tc>
          <w:tcPr>
            <w:tcW w:w="18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3 255,28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pacing w:before="0" w:after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3 253,24</w:t>
            </w:r>
          </w:p>
        </w:tc>
      </w:tr>
      <w:tr>
        <w:trPr>
          <w:trHeight w:val="300" w:hRule="atLeast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27</w:t>
            </w:r>
          </w:p>
        </w:tc>
        <w:tc>
          <w:tcPr>
            <w:tcW w:w="56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left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Замена венчика</w:t>
            </w:r>
          </w:p>
        </w:tc>
        <w:tc>
          <w:tcPr>
            <w:tcW w:w="18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1 090,75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pacing w:before="0" w:after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1 089,47</w:t>
            </w:r>
          </w:p>
        </w:tc>
      </w:tr>
      <w:tr>
        <w:trPr>
          <w:trHeight w:val="300" w:hRule="atLeast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28</w:t>
            </w:r>
          </w:p>
        </w:tc>
        <w:tc>
          <w:tcPr>
            <w:tcW w:w="56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left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Замена редуктора планетарного</w:t>
            </w:r>
          </w:p>
        </w:tc>
        <w:tc>
          <w:tcPr>
            <w:tcW w:w="18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7 366,88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pacing w:before="0" w:after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7 363,92</w:t>
            </w:r>
          </w:p>
        </w:tc>
      </w:tr>
      <w:tr>
        <w:trPr>
          <w:trHeight w:val="300" w:hRule="atLeast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29</w:t>
            </w:r>
          </w:p>
        </w:tc>
        <w:tc>
          <w:tcPr>
            <w:tcW w:w="56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left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Замена клапана предохранительного</w:t>
            </w:r>
          </w:p>
        </w:tc>
        <w:tc>
          <w:tcPr>
            <w:tcW w:w="18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3 255,28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pacing w:before="0" w:after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3 253,24</w:t>
            </w:r>
          </w:p>
        </w:tc>
      </w:tr>
      <w:tr>
        <w:trPr>
          <w:trHeight w:val="300" w:hRule="atLeast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30</w:t>
            </w:r>
          </w:p>
        </w:tc>
        <w:tc>
          <w:tcPr>
            <w:tcW w:w="56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left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Замена диска вариатора</w:t>
            </w:r>
          </w:p>
        </w:tc>
        <w:tc>
          <w:tcPr>
            <w:tcW w:w="18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4 944,11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pacing w:before="0" w:after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4 942,90</w:t>
            </w:r>
          </w:p>
        </w:tc>
      </w:tr>
      <w:tr>
        <w:trPr>
          <w:trHeight w:val="300" w:hRule="atLeast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31</w:t>
            </w:r>
          </w:p>
        </w:tc>
        <w:tc>
          <w:tcPr>
            <w:tcW w:w="56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left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Замена (восстановление) держателя насадок</w:t>
            </w:r>
          </w:p>
        </w:tc>
        <w:tc>
          <w:tcPr>
            <w:tcW w:w="18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3 795,55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pacing w:before="0" w:after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3 792,91</w:t>
            </w:r>
          </w:p>
        </w:tc>
      </w:tr>
      <w:tr>
        <w:trPr>
          <w:trHeight w:val="300" w:hRule="atLeast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32</w:t>
            </w:r>
          </w:p>
        </w:tc>
        <w:tc>
          <w:tcPr>
            <w:tcW w:w="56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left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Замена (восстановление) шланга подачи пара</w:t>
            </w:r>
          </w:p>
        </w:tc>
        <w:tc>
          <w:tcPr>
            <w:tcW w:w="18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4 944,11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pacing w:before="0" w:after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4 942,90</w:t>
            </w:r>
          </w:p>
        </w:tc>
      </w:tr>
      <w:tr>
        <w:trPr>
          <w:trHeight w:val="300" w:hRule="atLeast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33</w:t>
            </w:r>
          </w:p>
        </w:tc>
        <w:tc>
          <w:tcPr>
            <w:tcW w:w="56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left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Замена ламп</w:t>
            </w:r>
          </w:p>
        </w:tc>
        <w:tc>
          <w:tcPr>
            <w:tcW w:w="18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1 090,75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pacing w:before="0" w:after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1 089,47</w:t>
            </w:r>
          </w:p>
        </w:tc>
      </w:tr>
      <w:tr>
        <w:trPr>
          <w:trHeight w:val="300" w:hRule="atLeast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34</w:t>
            </w:r>
          </w:p>
        </w:tc>
        <w:tc>
          <w:tcPr>
            <w:tcW w:w="56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left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Замена мотора вентилятора</w:t>
            </w:r>
          </w:p>
        </w:tc>
        <w:tc>
          <w:tcPr>
            <w:tcW w:w="18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7 366,88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pacing w:before="0" w:after="103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7 363,92</w:t>
            </w:r>
          </w:p>
        </w:tc>
      </w:tr>
      <w:tr>
        <w:trPr>
          <w:trHeight w:val="300" w:hRule="atLeast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35</w:t>
            </w:r>
          </w:p>
        </w:tc>
        <w:tc>
          <w:tcPr>
            <w:tcW w:w="56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left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Замена плата управления</w:t>
            </w:r>
          </w:p>
        </w:tc>
        <w:tc>
          <w:tcPr>
            <w:tcW w:w="18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7 366,88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pacing w:before="0" w:after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7 363,92</w:t>
            </w:r>
          </w:p>
        </w:tc>
      </w:tr>
      <w:tr>
        <w:trPr>
          <w:trHeight w:val="300" w:hRule="atLeast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36</w:t>
            </w:r>
          </w:p>
        </w:tc>
        <w:tc>
          <w:tcPr>
            <w:tcW w:w="56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left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Замена электромагнитного клапана</w:t>
            </w:r>
          </w:p>
        </w:tc>
        <w:tc>
          <w:tcPr>
            <w:tcW w:w="18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3 353,76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pacing w:before="0" w:after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3 349,06</w:t>
            </w:r>
          </w:p>
        </w:tc>
      </w:tr>
      <w:tr>
        <w:trPr>
          <w:trHeight w:val="300" w:hRule="atLeast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37</w:t>
            </w:r>
          </w:p>
        </w:tc>
        <w:tc>
          <w:tcPr>
            <w:tcW w:w="56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left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Замена сливного клапана</w:t>
            </w:r>
          </w:p>
        </w:tc>
        <w:tc>
          <w:tcPr>
            <w:tcW w:w="18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2 303,79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pacing w:before="0" w:after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2 299,96</w:t>
            </w:r>
          </w:p>
        </w:tc>
      </w:tr>
      <w:tr>
        <w:trPr>
          <w:trHeight w:val="300" w:hRule="atLeast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38</w:t>
            </w:r>
          </w:p>
        </w:tc>
        <w:tc>
          <w:tcPr>
            <w:tcW w:w="56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left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Замена выключателей</w:t>
            </w:r>
          </w:p>
        </w:tc>
        <w:tc>
          <w:tcPr>
            <w:tcW w:w="18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1 967,46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pacing w:before="0" w:after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1 967,08</w:t>
            </w:r>
          </w:p>
        </w:tc>
      </w:tr>
      <w:tr>
        <w:trPr>
          <w:trHeight w:val="300" w:hRule="atLeast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39</w:t>
            </w:r>
          </w:p>
        </w:tc>
        <w:tc>
          <w:tcPr>
            <w:tcW w:w="56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left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Замена мотора редуктора</w:t>
            </w:r>
          </w:p>
        </w:tc>
        <w:tc>
          <w:tcPr>
            <w:tcW w:w="18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nos" w:hAnsi="Tinos" w:eastAsia="Calibri" w:cs="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" w:ascii="Tinos" w:hAnsi="Tinos"/>
                <w:color w:val="000000"/>
                <w:kern w:val="0"/>
                <w:sz w:val="24"/>
                <w:szCs w:val="24"/>
                <w:lang w:val="ru-RU" w:eastAsia="ru-RU" w:bidi="ar-SA"/>
              </w:rPr>
              <w:t>7 366,88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27"/>
              <w:widowControl w:val="false"/>
              <w:spacing w:before="0" w:after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7 363,92</w:t>
            </w:r>
          </w:p>
        </w:tc>
      </w:tr>
    </w:tbl>
    <w:p>
      <w:pPr>
        <w:pStyle w:val="Normal"/>
        <w:spacing w:before="0" w:after="160"/>
        <w:rPr/>
      </w:pPr>
      <w:r>
        <w:rPr/>
      </w:r>
    </w:p>
    <w:sectPr>
      <w:footerReference w:type="default" r:id="rId2"/>
      <w:type w:val="nextPage"/>
      <w:pgSz w:w="11906" w:h="16838"/>
      <w:pgMar w:left="1134" w:right="851" w:gutter="0" w:header="0" w:top="1134" w:footer="708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Segoe U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Tinos">
    <w:charset w:val="01"/>
    <w:family w:val="roman"/>
    <w:pitch w:val="default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Lines/>
      <w:numPr>
        <w:ilvl w:val="0"/>
        <w:numId w:val="0"/>
      </w:numPr>
      <w:spacing w:lineRule="auto" w:line="240" w:before="0" w:after="0"/>
      <w:ind w:left="0" w:hanging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</w:rPr>
      <w:t>ПРОТОКОЛ №32515074770/1</w:t>
    </w:r>
  </w:p>
  <w:p>
    <w:pPr>
      <w:pStyle w:val="Normal"/>
      <w:keepLines/>
      <w:numPr>
        <w:ilvl w:val="0"/>
        <w:numId w:val="0"/>
      </w:numPr>
      <w:spacing w:lineRule="auto" w:line="240" w:before="0" w:after="0"/>
      <w:ind w:left="0" w:hanging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color w:val="000000"/>
        <w:sz w:val="16"/>
        <w:szCs w:val="16"/>
        <w:shd w:fill="auto" w:val="clear"/>
      </w:rPr>
      <w:t>заседания закупочной комиссии по подведению итогов закупки на право заключения договора на оказание услуг по текущему ремонту электрооборудования для нужд службы общественного питания ООО «Кольская АЭС-Авто»</w:t>
    </w:r>
  </w:p>
  <w:p>
    <w:pPr>
      <w:pStyle w:val="Style2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PAGE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5</w:t>
    </w:r>
    <w:r>
      <w:rPr>
        <w:sz w:val="16"/>
        <w:szCs w:val="16"/>
        <w:rFonts w:ascii="Times New Roman" w:hAnsi="Times New Roman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NUMPAGES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5</w:t>
    </w:r>
    <w:r>
      <w:rPr>
        <w:sz w:val="16"/>
        <w:szCs w:val="16"/>
        <w:rFonts w:ascii="Times New Roman" w:hAnsi="Times New Roman"/>
      </w:rPr>
      <w:fldChar w:fldCharType="end"/>
    </w:r>
  </w:p>
  <w:p>
    <w:pPr>
      <w:pStyle w:val="Style25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7446c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Знак"/>
    <w:basedOn w:val="DefaultParagraphFont"/>
    <w:uiPriority w:val="99"/>
    <w:semiHidden/>
    <w:qFormat/>
    <w:rsid w:val="00db497a"/>
    <w:rPr/>
  </w:style>
  <w:style w:type="character" w:styleId="Style15" w:customStyle="1">
    <w:name w:val="Нижний колонтитул Знак"/>
    <w:basedOn w:val="DefaultParagraphFont"/>
    <w:uiPriority w:val="99"/>
    <w:qFormat/>
    <w:rsid w:val="00db497a"/>
    <w:rPr>
      <w:rFonts w:ascii="Arial" w:hAnsi="Arial" w:eastAsia="Times New Roman" w:cs="Times New Roman"/>
      <w:sz w:val="24"/>
      <w:szCs w:val="24"/>
      <w:lang w:eastAsia="ru-RU"/>
    </w:rPr>
  </w:style>
  <w:style w:type="character" w:styleId="Style16" w:customStyle="1">
    <w:name w:val="Верхний колонтитул Знак"/>
    <w:basedOn w:val="DefaultParagraphFont"/>
    <w:uiPriority w:val="99"/>
    <w:qFormat/>
    <w:rsid w:val="004b5df2"/>
    <w:rPr/>
  </w:style>
  <w:style w:type="character" w:styleId="Style17" w:customStyle="1">
    <w:name w:val="Текст выноски Знак"/>
    <w:basedOn w:val="DefaultParagraphFont"/>
    <w:link w:val="BalloonText"/>
    <w:uiPriority w:val="99"/>
    <w:semiHidden/>
    <w:qFormat/>
    <w:rsid w:val="002a01ad"/>
    <w:rPr>
      <w:rFonts w:ascii="Segoe UI" w:hAnsi="Segoe UI" w:cs="Segoe UI"/>
      <w:sz w:val="18"/>
      <w:szCs w:val="18"/>
    </w:rPr>
  </w:style>
  <w:style w:type="character" w:styleId="-">
    <w:name w:val="Hyperlink"/>
    <w:uiPriority w:val="99"/>
    <w:semiHidden/>
    <w:unhideWhenUsed/>
    <w:rsid w:val="00941c50"/>
    <w:rPr>
      <w:strike w:val="false"/>
      <w:dstrike w:val="false"/>
      <w:color w:val="0063A4"/>
      <w:u w:val="none"/>
      <w:effect w:val="none"/>
    </w:rPr>
  </w:style>
  <w:style w:type="character" w:styleId="Style18" w:customStyle="1">
    <w:name w:val="Абзац списка Знак"/>
    <w:link w:val="ListParagraph"/>
    <w:uiPriority w:val="34"/>
    <w:qFormat/>
    <w:locked/>
    <w:rsid w:val="00c422d8"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0">
    <w:name w:val="Body Text"/>
    <w:basedOn w:val="Normal"/>
    <w:link w:val="Style14"/>
    <w:uiPriority w:val="99"/>
    <w:semiHidden/>
    <w:unhideWhenUsed/>
    <w:rsid w:val="00db497a"/>
    <w:pPr>
      <w:spacing w:before="0" w:after="120"/>
    </w:pPr>
    <w:rPr/>
  </w:style>
  <w:style w:type="paragraph" w:styleId="Style21">
    <w:name w:val="List"/>
    <w:basedOn w:val="Style20"/>
    <w:pPr/>
    <w:rPr>
      <w:rFonts w:ascii="PT Astra Serif" w:hAnsi="PT Astra Serif"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Footer"/>
    <w:basedOn w:val="Normal"/>
    <w:link w:val="Style15"/>
    <w:uiPriority w:val="99"/>
    <w:unhideWhenUsed/>
    <w:rsid w:val="00db497a"/>
    <w:pPr>
      <w:keepLines/>
      <w:tabs>
        <w:tab w:val="clear" w:pos="708"/>
        <w:tab w:val="center" w:pos="4677" w:leader="none"/>
        <w:tab w:val="right" w:pos="9355" w:leader="none"/>
      </w:tabs>
      <w:spacing w:lineRule="auto" w:line="240" w:before="0" w:after="0"/>
      <w:jc w:val="both"/>
    </w:pPr>
    <w:rPr>
      <w:rFonts w:ascii="Arial" w:hAnsi="Arial" w:eastAsia="Times New Roman" w:cs="Times New Roman"/>
      <w:sz w:val="24"/>
      <w:szCs w:val="24"/>
      <w:lang w:eastAsia="ru-RU"/>
    </w:rPr>
  </w:style>
  <w:style w:type="paragraph" w:styleId="Style26">
    <w:name w:val="Header"/>
    <w:basedOn w:val="Normal"/>
    <w:link w:val="Style16"/>
    <w:uiPriority w:val="99"/>
    <w:unhideWhenUsed/>
    <w:rsid w:val="004b5df2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Style17"/>
    <w:uiPriority w:val="99"/>
    <w:semiHidden/>
    <w:unhideWhenUsed/>
    <w:qFormat/>
    <w:rsid w:val="002a01ad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link w:val="Style18"/>
    <w:uiPriority w:val="34"/>
    <w:qFormat/>
    <w:rsid w:val="00e719ab"/>
    <w:pPr>
      <w:spacing w:before="0" w:after="160"/>
      <w:ind w:left="720" w:hanging="0"/>
      <w:contextualSpacing/>
    </w:pPr>
    <w:rPr/>
  </w:style>
  <w:style w:type="paragraph" w:styleId="Style27">
    <w:name w:val="Содержимое таблицы"/>
    <w:basedOn w:val="Normal"/>
    <w:qFormat/>
    <w:pPr>
      <w:widowControl w:val="false"/>
      <w:suppressLineNumbers/>
    </w:pPr>
    <w:rPr/>
  </w:style>
  <w:style w:type="paragraph" w:styleId="Style28">
    <w:name w:val="Заголовок таблицы"/>
    <w:basedOn w:val="Style27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Application>LibreOffice/7.5.6.2$Linux_X86_64 LibreOffice_project/50$Build-2</Application>
  <AppVersion>15.0000</AppVersion>
  <Pages>5</Pages>
  <Words>1083</Words>
  <Characters>6990</Characters>
  <CharactersWithSpaces>7847</CharactersWithSpaces>
  <Paragraphs>237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2024-03-21T08:25:00Z</dcterms:created>
  <dc:creator>КузнецоваГВ</dc:creator>
  <dc:description/>
  <dc:language>ru-RU</dc:language>
  <cp:lastModifiedBy/>
  <cp:lastPrinted>2025-08-06T11:12:26Z</cp:lastPrinted>
  <dcterms:modified xsi:type="dcterms:W3CDTF">2025-08-06T11:29:51Z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