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nos" w:hAnsi="Tinos"/>
          <w:sz w:val="24"/>
          <w:szCs w:val="24"/>
        </w:rPr>
      </w:pPr>
      <w:r>
        <w:rPr>
          <w:rFonts w:ascii="Tinos" w:hAnsi="Tinos"/>
          <w:b/>
          <w:bCs/>
          <w:sz w:val="24"/>
          <w:szCs w:val="24"/>
        </w:rPr>
        <w:t>ПРОТОКОЛ № 32515563010/1</w:t>
      </w:r>
    </w:p>
    <w:p>
      <w:pPr>
        <w:pStyle w:val="Style21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nos" w:hAnsi="Tinos"/>
          <w:sz w:val="24"/>
          <w:szCs w:val="24"/>
        </w:rPr>
      </w:pPr>
      <w:r>
        <w:rPr>
          <w:rFonts w:ascii="Tinos" w:hAnsi="Tinos"/>
          <w:b/>
          <w:bCs/>
          <w:sz w:val="24"/>
          <w:szCs w:val="24"/>
        </w:rPr>
        <w:t>заседания закупочной комиссии по подведению итогов закупки на право заключения договора на оказание услуг по текущему ремонту электрооборудования для нужд службы общественного питания ООО «Кольская АЭС-Авто»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5"/>
        <w:gridCol w:w="7259"/>
      </w:tblGrid>
      <w:tr>
        <w:trPr/>
        <w:tc>
          <w:tcPr>
            <w:tcW w:w="2775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259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«12» января 2026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 №202) (далее – ЕОСЗ), в редакции, указанной в документации, с использованием функционала </w:t>
      </w:r>
      <w:r>
        <w:rPr>
          <w:rFonts w:ascii="Times New Roman" w:hAnsi="Times New Roman"/>
        </w:rPr>
        <w:t>ЭТП АКЦИОНЕРНОЕ ОБЩЕСТВО «ЭЛЕКТРОННЫЕ ТОРГОВЫЕ СИСТЕМЫ</w:t>
      </w:r>
      <w:r>
        <w:rPr>
          <w:rFonts w:ascii="Times New Roman" w:hAnsi="Times New Roman"/>
          <w:bCs/>
        </w:rPr>
        <w:t>»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25429/144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Общество с ограниченной ответственностью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ООО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Предмет закупки: право заключения договора на оказание услуг по текущему ремонту электрооборудования для нужд службы общественного питания ООО «Кольская АЭС-Авто».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Состав и объем услуг: все необходимые сведения приведены в Томе 2 закупочной документации.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Срок оказания услуг: с момента подписания договора (но не ранее 1 февраля 2026г.) по 31 июля 2026г.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p>
      <w:pPr>
        <w:pStyle w:val="Normal"/>
        <w:jc w:val="both"/>
        <w:rPr/>
      </w:pPr>
      <w:r>
        <w:rPr>
          <w:rFonts w:eastAsia="Calibri" w:ascii="Times New Roman" w:hAnsi="Times New Roman"/>
        </w:rPr>
        <w:t>Начальная (максимальная) цена договора:</w:t>
      </w:r>
      <w:r>
        <w:rPr>
          <w:rFonts w:ascii="Tinos" w:hAnsi="Tinos"/>
        </w:rPr>
        <w:t xml:space="preserve"> </w:t>
      </w:r>
    </w:p>
    <w:p>
      <w:pPr>
        <w:pStyle w:val="Normal"/>
        <w:widowControl w:val="false"/>
        <w:jc w:val="both"/>
        <w:rPr>
          <w:rFonts w:ascii="Tinos" w:hAnsi="Tinos"/>
        </w:rPr>
      </w:pPr>
      <w:r>
        <w:rPr>
          <w:rFonts w:ascii="Tinos" w:hAnsi="Tinos"/>
          <w:bCs/>
          <w:color w:val="000000"/>
        </w:rPr>
        <w:t>600 000 (Шестьсот тысяч) рублей 00 копеек, включая НДС 22%,</w:t>
      </w:r>
    </w:p>
    <w:p>
      <w:pPr>
        <w:pStyle w:val="Normal"/>
        <w:widowControl w:val="false"/>
        <w:jc w:val="both"/>
        <w:rPr>
          <w:rFonts w:ascii="Tinos" w:hAnsi="Tinos"/>
        </w:rPr>
      </w:pPr>
      <w:r>
        <w:rPr>
          <w:rFonts w:eastAsia="Calibri" w:ascii="Tinos" w:hAnsi="Tinos"/>
          <w:bCs/>
          <w:color w:val="000000"/>
          <w:shd w:fill="auto" w:val="clear"/>
        </w:rPr>
        <w:t>491 803 (</w:t>
      </w:r>
      <w:r>
        <w:rPr>
          <w:rFonts w:eastAsia="Calibri" w:ascii="Tinos" w:hAnsi="Tinos"/>
          <w:bCs/>
          <w:color w:val="000000"/>
        </w:rPr>
        <w:t>Четыреста девяносто одна тысяча восемьсот три) рубля 28 копеек, без учета НДС.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«23» декабря 2025 года на официальном государственном сайте </w:t>
      </w:r>
      <w:r>
        <w:rPr>
          <w:rStyle w:val="-"/>
          <w:rFonts w:ascii="Times New Roman" w:hAnsi="Times New Roman"/>
          <w:color w:val="000000"/>
          <w:u w:val="single"/>
          <w:lang w:val="en-US"/>
        </w:rPr>
        <w:t>http</w:t>
      </w:r>
      <w:r>
        <w:rPr>
          <w:rStyle w:val="-"/>
          <w:rFonts w:ascii="Times New Roman" w:hAnsi="Times New Roman"/>
          <w:color w:val="000000"/>
          <w:u w:val="single"/>
        </w:rPr>
        <w:t>://</w:t>
      </w:r>
      <w:r>
        <w:rPr>
          <w:rStyle w:val="-"/>
          <w:rFonts w:ascii="Times New Roman" w:hAnsi="Times New Roman"/>
          <w:color w:val="000000"/>
          <w:u w:val="single"/>
          <w:lang w:val="en-US"/>
        </w:rPr>
        <w:t>www</w:t>
      </w:r>
      <w:r>
        <w:rPr>
          <w:rStyle w:val="-"/>
          <w:rFonts w:ascii="Times New Roman" w:hAnsi="Times New Roman"/>
          <w:color w:val="000000"/>
          <w:u w:val="single"/>
        </w:rPr>
        <w:t>.</w:t>
      </w:r>
      <w:r>
        <w:rPr>
          <w:rStyle w:val="-"/>
          <w:rFonts w:ascii="Times New Roman" w:hAnsi="Times New Roman"/>
          <w:color w:val="000000"/>
          <w:u w:val="single"/>
          <w:lang w:val="en-US"/>
        </w:rPr>
        <w:t>zakupki</w:t>
      </w:r>
      <w:r>
        <w:rPr>
          <w:rStyle w:val="-"/>
          <w:rFonts w:ascii="Times New Roman" w:hAnsi="Times New Roman"/>
          <w:color w:val="000000"/>
          <w:u w:val="single"/>
        </w:rPr>
        <w:t>.</w:t>
      </w:r>
      <w:r>
        <w:rPr>
          <w:rStyle w:val="-"/>
          <w:rFonts w:ascii="Times New Roman" w:hAnsi="Times New Roman"/>
          <w:color w:val="000000"/>
          <w:u w:val="single"/>
          <w:lang w:val="en-US"/>
        </w:rPr>
        <w:t>gov</w:t>
      </w:r>
      <w:r>
        <w:rPr>
          <w:rStyle w:val="-"/>
          <w:rFonts w:ascii="Times New Roman" w:hAnsi="Times New Roman"/>
          <w:color w:val="000000"/>
          <w:u w:val="single"/>
        </w:rPr>
        <w:t>.</w:t>
      </w:r>
      <w:r>
        <w:rPr>
          <w:rStyle w:val="-"/>
          <w:rFonts w:ascii="Times New Roman" w:hAnsi="Times New Roman"/>
          <w:color w:val="000000"/>
          <w:u w:val="single"/>
          <w:lang w:val="en-US"/>
        </w:rPr>
        <w:t>ru</w:t>
      </w:r>
      <w:r>
        <w:rPr>
          <w:rStyle w:val="-"/>
          <w:rFonts w:ascii="Times New Roman" w:hAnsi="Times New Roman"/>
          <w:color w:val="000000"/>
          <w:u w:val="single"/>
        </w:rPr>
        <w:t>/</w:t>
      </w:r>
      <w:r>
        <w:rPr>
          <w:rFonts w:ascii="Times New Roman" w:hAnsi="Times New Roman"/>
          <w:color w:val="000000"/>
        </w:rPr>
        <w:t xml:space="preserve">, закупка № 32515563010, на официальном сайте по закупкам атомной отрасли </w:t>
      </w:r>
      <w:hyperlink r:id="rId2">
        <w:r>
          <w:rPr>
            <w:rStyle w:val="-"/>
            <w:rFonts w:ascii="Times New Roman" w:hAnsi="Times New Roman"/>
            <w:color w:val="000000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00"/>
            <w:u w:val="single"/>
          </w:rPr>
          <w:t>://</w:t>
        </w:r>
        <w:r>
          <w:rPr>
            <w:rStyle w:val="-"/>
            <w:rFonts w:ascii="Times New Roman" w:hAnsi="Times New Roman"/>
            <w:color w:val="000000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00"/>
            <w:u w:val="single"/>
          </w:rPr>
          <w:t>.</w:t>
        </w:r>
        <w:r>
          <w:rPr>
            <w:rStyle w:val="-"/>
            <w:rFonts w:ascii="Times New Roman" w:hAnsi="Times New Roman"/>
            <w:color w:val="000000"/>
            <w:u w:val="single"/>
            <w:lang w:val="en-US"/>
          </w:rPr>
          <w:t>rosatom</w:t>
        </w:r>
        <w:r>
          <w:rPr>
            <w:rStyle w:val="-"/>
            <w:rFonts w:ascii="Times New Roman" w:hAnsi="Times New Roman"/>
            <w:color w:val="000000"/>
            <w:u w:val="single"/>
          </w:rPr>
          <w:t>.</w:t>
        </w:r>
        <w:r>
          <w:rPr>
            <w:rStyle w:val="-"/>
            <w:rFonts w:ascii="Times New Roman" w:hAnsi="Times New Roman"/>
            <w:color w:val="000000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00"/>
          <w:u w:val="single"/>
        </w:rPr>
        <w:t>/</w:t>
      </w:r>
      <w:r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</w:rPr>
        <w:t xml:space="preserve"> закупка № 160552,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на ЭТП АКЦИОНЕРНОЕ ОБЩЕСТВО «ЭЛЕКТРОННЫЕ ТОРГОВЫЕ СИСТЕМЫ», закупка № 32515563010.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закупочной комиссии проводится в очной форме в 09:00 (время московское) «12» января 2026 года, по адресу: 184230, РФ, Мурманская область, г. Полярные Зори, ул. Промышленная, д. 4/1.</w:t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87"/>
        <w:gridCol w:w="7047"/>
      </w:tblGrid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/>
                <w:bCs/>
                <w:shd w:fill="auto" w:val="clear"/>
              </w:rPr>
              <w:t>ФИО</w:t>
            </w:r>
          </w:p>
        </w:tc>
        <w:tc>
          <w:tcPr>
            <w:tcW w:w="70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/>
                <w:bCs/>
                <w:shd w:fill="auto" w:val="clear"/>
              </w:rPr>
              <w:t>Должность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/>
                <w:bCs/>
                <w:shd w:fill="auto" w:val="clear"/>
              </w:rPr>
              <w:t>Председатель закупочной комиссии: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Вощиков А.В.</w:t>
            </w:r>
          </w:p>
        </w:tc>
        <w:tc>
          <w:tcPr>
            <w:tcW w:w="70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/>
                <w:shd w:fill="auto" w:val="clear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Анисимов</w:t>
            </w:r>
            <w:bookmarkStart w:id="0" w:name="_GoBack"/>
            <w:bookmarkEnd w:id="0"/>
            <w:r>
              <w:rPr>
                <w:rFonts w:eastAsia="Calibri" w:ascii="Times New Roman" w:hAnsi="Times New Roman"/>
                <w:shd w:fill="auto" w:val="clear"/>
              </w:rPr>
              <w:t xml:space="preserve"> Н.В.</w:t>
            </w:r>
          </w:p>
        </w:tc>
        <w:tc>
          <w:tcPr>
            <w:tcW w:w="70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Главный инженер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/>
                <w:bCs/>
                <w:shd w:fill="auto" w:val="clear"/>
              </w:rPr>
              <w:t>Члены закупочной комиссии: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Эксузьян О.А.</w:t>
            </w:r>
          </w:p>
        </w:tc>
        <w:tc>
          <w:tcPr>
            <w:tcW w:w="70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Главный бухгалтер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Лисицына О.Н.</w:t>
            </w:r>
          </w:p>
        </w:tc>
        <w:tc>
          <w:tcPr>
            <w:tcW w:w="70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Руководитель ПЭГ</w:t>
            </w:r>
          </w:p>
        </w:tc>
      </w:tr>
      <w:tr>
        <w:trPr/>
        <w:tc>
          <w:tcPr>
            <w:tcW w:w="298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hd w:fill="auto" w:val="clear"/>
              </w:rPr>
              <w:t>Беляев А.А.</w:t>
            </w:r>
          </w:p>
        </w:tc>
        <w:tc>
          <w:tcPr>
            <w:tcW w:w="704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hd w:fill="auto" w:val="clear"/>
              </w:rPr>
              <w:t>Руководитель ДГ</w:t>
            </w:r>
          </w:p>
        </w:tc>
      </w:tr>
      <w:tr>
        <w:trPr/>
        <w:tc>
          <w:tcPr>
            <w:tcW w:w="298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hd w:fill="auto" w:val="clear"/>
              </w:rPr>
              <w:t>Куропаткина С.М.</w:t>
            </w:r>
          </w:p>
        </w:tc>
        <w:tc>
          <w:tcPr>
            <w:tcW w:w="704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hd w:fill="auto" w:val="clear"/>
              </w:rPr>
              <w:t>Начальник ООЗиМТО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/>
                <w:bCs/>
                <w:shd w:fill="auto" w:val="clear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Андронова С.А.</w:t>
            </w:r>
          </w:p>
        </w:tc>
        <w:tc>
          <w:tcPr>
            <w:tcW w:w="70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Специалист ООЗиМТО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</w:t>
      </w:r>
      <w:r>
        <w:rPr>
          <w:rFonts w:ascii="Times New Roman" w:hAnsi="Times New Roman"/>
          <w:color w:val="000000"/>
          <w:shd w:fill="auto" w:val="clear"/>
          <w:lang w:eastAsia="ar-SA"/>
        </w:rPr>
        <w:t xml:space="preserve"> </w:t>
      </w:r>
      <w:r>
        <w:rPr>
          <w:rFonts w:ascii="Times New Roman" w:hAnsi="Times New Roman"/>
          <w:color w:val="000000"/>
          <w:shd w:fill="auto" w:val="clear"/>
          <w:lang w:eastAsia="ar-SA"/>
        </w:rPr>
        <w:t>7 из 8</w:t>
      </w:r>
      <w:r>
        <w:rPr>
          <w:rFonts w:ascii="Times New Roman" w:hAnsi="Times New Roman"/>
          <w:color w:val="000000"/>
          <w:shd w:fill="auto" w:val="clear"/>
          <w:lang w:eastAsia="ar-SA"/>
        </w:rPr>
        <w:t xml:space="preserve"> ч</w:t>
      </w:r>
      <w:r>
        <w:rPr>
          <w:rFonts w:ascii="Times New Roman" w:hAnsi="Times New Roman"/>
          <w:color w:val="000000"/>
          <w:lang w:eastAsia="ar-SA"/>
        </w:rPr>
        <w:t>ленов закупочной комиссии.</w:t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Кворум имеется.</w:t>
      </w:r>
    </w:p>
    <w:p>
      <w:pPr>
        <w:pStyle w:val="Normal"/>
        <w:widowControl w:val="false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 xml:space="preserve">08:00 (время московское)  «30» декабря 2025 года. </w:t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left="0" w:hanging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left="0" w:hanging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Количество поданных на ЭТП </w:t>
      </w:r>
      <w:r>
        <w:rPr>
          <w:rFonts w:ascii="Times New Roman" w:hAnsi="Times New Roman"/>
        </w:rPr>
        <w:t>АКЦИОНЕРНОЕ ОБЩЕСТВО «ЭЛЕКТРОННЫЕ ТОРГОВЫЕ СИСТЕМЫ»</w:t>
      </w:r>
      <w:hyperlink r:id="rId3">
        <w:r>
          <w:rPr>
            <w:rStyle w:val="-"/>
            <w:rFonts w:ascii="Times New Roman" w:hAnsi="Times New Roman"/>
            <w:color w:val="auto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lang w:eastAsia="ar-SA"/>
        </w:rPr>
        <w:t xml:space="preserve">: 1. </w:t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left="0" w:hanging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keepLines w:val="false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Согласно результатам открытия доступа к заявкам на участие в закупке: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552"/>
        <w:gridCol w:w="4167"/>
        <w:gridCol w:w="2015"/>
        <w:gridCol w:w="2300"/>
      </w:tblGrid>
      <w:tr>
        <w:trPr/>
        <w:tc>
          <w:tcPr>
            <w:tcW w:w="1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41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Участник закупки</w:t>
            </w:r>
          </w:p>
        </w:tc>
        <w:tc>
          <w:tcPr>
            <w:tcW w:w="20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Дата и время регистрации заявки</w:t>
            </w:r>
          </w:p>
        </w:tc>
        <w:tc>
          <w:tcPr>
            <w:tcW w:w="2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Ценовое предложение за единицу, сделанное участником закупки</w:t>
            </w:r>
          </w:p>
        </w:tc>
      </w:tr>
      <w:tr>
        <w:trPr/>
        <w:tc>
          <w:tcPr>
            <w:tcW w:w="1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32515563010-1-1</w:t>
            </w:r>
          </w:p>
        </w:tc>
        <w:tc>
          <w:tcPr>
            <w:tcW w:w="41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 xml:space="preserve">Общество с ограниченной ответственностью «Комплекс Трейд» </w:t>
              <w:br/>
              <w:t>ИНН: 5190015202</w:t>
              <w:br/>
              <w:t>Адрес: 183025 Мурманская обл.,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г. Мурманск, ул. Капитана Буркова,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д. 51А</w:t>
            </w:r>
          </w:p>
        </w:tc>
        <w:tc>
          <w:tcPr>
            <w:tcW w:w="20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«26» декабря 2025 года 16:07 (время московское)</w:t>
            </w:r>
          </w:p>
        </w:tc>
        <w:tc>
          <w:tcPr>
            <w:tcW w:w="2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1. 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соответствии с п. 7.8 Закупочной документации допустить к дальнейшему участию в запросе котировок участника Общество с ограниченной ответственностью 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ar-SA"/>
        </w:rPr>
        <w:t>«Комплекс Трейд»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, отвечающего требованиям документации по запросу котировок.</w:t>
      </w:r>
    </w:p>
    <w:p>
      <w:pPr>
        <w:pStyle w:val="Normal"/>
        <w:keepLines w:val="false"/>
        <w:spacing w:beforeAutospacing="1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>2. В соответствии с пп. а) п. 1.1 статьи 6.4 главы 6 ЕОСЗ признать запрос котировок несостоявшимся - подана только одна заявка от одного участника.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комиссия: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numPr>
          <w:ilvl w:val="0"/>
          <w:numId w:val="1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numPr>
          <w:ilvl w:val="0"/>
          <w:numId w:val="1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numPr>
          <w:ilvl w:val="0"/>
          <w:numId w:val="1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>
      <w:pPr>
        <w:pStyle w:val="Normal"/>
        <w:keepLines w:val="false"/>
        <w:numPr>
          <w:ilvl w:val="0"/>
          <w:numId w:val="2"/>
        </w:numPr>
        <w:ind w:left="1418" w:hanging="425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>предоставления сведений о предложениях участников закупки, содержании экспертных заключений проведения закупки и принимаемых решениях, за исключением  сведений находящихся,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>
      <w:pPr>
        <w:pStyle w:val="Normal"/>
        <w:keepLines w:val="false"/>
        <w:numPr>
          <w:ilvl w:val="0"/>
          <w:numId w:val="2"/>
        </w:numPr>
        <w:ind w:left="1418" w:hanging="425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numPr>
          <w:ilvl w:val="0"/>
          <w:numId w:val="2"/>
        </w:numPr>
        <w:ind w:left="1418" w:hanging="425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ascii="Times New Roman" w:hAnsi="Times New Roman"/>
          <w:color w:val="000000"/>
          <w:lang w:eastAsia="ar-SA"/>
        </w:rPr>
        <w:t>Согласовано</w:t>
      </w:r>
      <w:r>
        <w:rPr>
          <w:rFonts w:eastAsia="Calibri" w:ascii="Times New Roman" w:hAnsi="Times New Roman"/>
        </w:rPr>
        <w:t xml:space="preserve"> членами закупочной комиссии в Единой отраслевой системе электронного документооборота.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77"/>
        <w:gridCol w:w="4567"/>
        <w:gridCol w:w="2391"/>
      </w:tblGrid>
      <w:tr>
        <w:trPr/>
        <w:tc>
          <w:tcPr>
            <w:tcW w:w="30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ФИО</w:t>
            </w:r>
          </w:p>
        </w:tc>
        <w:tc>
          <w:tcPr>
            <w:tcW w:w="4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0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Андронова С. А.</w:t>
            </w:r>
          </w:p>
        </w:tc>
        <w:tc>
          <w:tcPr>
            <w:tcW w:w="4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shd w:fill="auto" w:val="clear"/>
              </w:rPr>
              <w:t>Специалист ООЗиМТО</w:t>
            </w:r>
          </w:p>
        </w:tc>
        <w:tc>
          <w:tcPr>
            <w:tcW w:w="23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spacing w:before="0" w:after="0"/>
        <w:jc w:val="center"/>
        <w:rPr>
          <w:b/>
          <w:bCs/>
          <w:i/>
          <w:i/>
          <w:iCs/>
        </w:rPr>
      </w:pPr>
      <w:r>
        <w:rPr>
          <w:rFonts w:ascii="Tinos" w:hAnsi="Tinos"/>
          <w:b/>
          <w:bCs/>
          <w:i/>
          <w:iCs/>
        </w:rPr>
        <w:t>Приложение №1 к Протоколу №32515563010/1 от 12.01.2026г. заседания закупочной комиссии по подведению итогов закупки на право заключения договора на оказание услуг по текущему ремонту электрооборудования для нужд службы общественного питания ООО «Кольская АЭС-Авто»</w:t>
      </w:r>
    </w:p>
    <w:p>
      <w:pPr>
        <w:pStyle w:val="Normal"/>
        <w:spacing w:before="0" w:after="0"/>
        <w:jc w:val="center"/>
        <w:rPr>
          <w:rFonts w:ascii="Tinos" w:hAnsi="Tinos"/>
        </w:rPr>
      </w:pPr>
      <w:r>
        <w:rPr>
          <w:rFonts w:ascii="Tinos" w:hAnsi="Tinos"/>
        </w:rPr>
      </w:r>
    </w:p>
    <w:tbl>
      <w:tblPr>
        <w:tblW w:w="10029" w:type="dxa"/>
        <w:jc w:val="left"/>
        <w:tblInd w:w="4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0"/>
        <w:gridCol w:w="5390"/>
        <w:gridCol w:w="1993"/>
        <w:gridCol w:w="2035"/>
      </w:tblGrid>
      <w:tr>
        <w:trPr>
          <w:trHeight w:val="654" w:hRule="atLeast"/>
        </w:trPr>
        <w:tc>
          <w:tcPr>
            <w:tcW w:w="6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 xml:space="preserve">№ </w:t>
            </w:r>
            <w:r>
              <w:rPr>
                <w:rFonts w:ascii="Tinos" w:hAnsi="Tinos"/>
                <w:sz w:val="22"/>
                <w:szCs w:val="22"/>
              </w:rPr>
              <w:t>п/п</w:t>
            </w:r>
          </w:p>
        </w:tc>
        <w:tc>
          <w:tcPr>
            <w:tcW w:w="53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left"/>
              <w:rPr>
                <w:rFonts w:ascii="Tinos" w:hAnsi="Tinos"/>
              </w:rPr>
            </w:pPr>
            <w:r>
              <w:rPr>
                <w:rFonts w:ascii="Tinos" w:hAnsi="Tinos"/>
                <w:b/>
                <w:i/>
                <w:sz w:val="22"/>
                <w:szCs w:val="22"/>
              </w:rPr>
              <w:t>Наименование МТРиО, работ, услуг</w:t>
            </w:r>
          </w:p>
        </w:tc>
        <w:tc>
          <w:tcPr>
            <w:tcW w:w="1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  <w:sz w:val="22"/>
                <w:szCs w:val="22"/>
              </w:rPr>
              <w:t>НМЦ за единицу без НДС, руб.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16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i/>
                <w:sz w:val="22"/>
                <w:szCs w:val="22"/>
              </w:rPr>
              <w:t>ООО "</w:t>
            </w:r>
            <w:r>
              <w:rPr>
                <w:rFonts w:eastAsia="Calibri" w:ascii="Times New Roman" w:hAnsi="Times New Roman" w:eastAsiaTheme="minorHAnsi"/>
                <w:b/>
                <w:i/>
                <w:sz w:val="22"/>
                <w:szCs w:val="22"/>
              </w:rPr>
              <w:t>Комплекс Трейд</w:t>
            </w:r>
            <w:r>
              <w:rPr>
                <w:rFonts w:ascii="Tinos" w:hAnsi="Tinos"/>
                <w:b/>
                <w:i/>
                <w:sz w:val="22"/>
                <w:szCs w:val="22"/>
              </w:rPr>
              <w:t>"</w:t>
            </w:r>
          </w:p>
        </w:tc>
      </w:tr>
      <w:tr>
        <w:trPr>
          <w:trHeight w:val="654" w:hRule="atLeast"/>
        </w:trPr>
        <w:tc>
          <w:tcPr>
            <w:tcW w:w="61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  <w:tc>
          <w:tcPr>
            <w:tcW w:w="539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  <w:tc>
          <w:tcPr>
            <w:tcW w:w="19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Цена за единицу без НДС, руб.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Диагностика (выявление неисправностей)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3 525,99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3 525,18</w:t>
            </w:r>
          </w:p>
        </w:tc>
      </w:tr>
      <w:tr>
        <w:trPr>
          <w:trHeight w:val="543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отдельных узлов и деталей с частичной разборкой оборудования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5 946,31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5 944,94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Восстановление (замена) электрошнура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1 444,30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1 443,97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уплотнительной резины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2 682,29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2 681,68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Восстановление (замена) нагревательных элементов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3 920,25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3 919,35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6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реле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3 553,45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3 552,64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7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фильтра воздушного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1 237,99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1 237,70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масла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3 696,74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3 695,89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9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тэнов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3 920,25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3 919,35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10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термостата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2 235,24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2 234,73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11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переключателей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2 235,24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2 234,73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12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конфорок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2 613,50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2 612,90</w:t>
            </w:r>
          </w:p>
        </w:tc>
      </w:tr>
      <w:tr>
        <w:trPr>
          <w:trHeight w:val="311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13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(восстановление) запасных частей для кофемашин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3 897,33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3 896,44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14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Ремонт электродвигателя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80 239,29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80 220,85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15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(восстановление) ремня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3 696,74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3 695,89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16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подшипников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4 195,36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4 194,40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17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пружин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2 682,29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2 681,68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18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дисков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3 112,73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3 110,00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19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(восстановление) шлангов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2 682,29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2 681,68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20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вала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5 616,75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5 615,46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21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Восстановление (замена)двигателя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8 367,82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8 365,89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22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болта, винта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2 613,50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2 612,90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23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сальников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5 616,75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5 615,46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24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помпы (насоса)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3 920,25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3 919,35</w:t>
            </w:r>
          </w:p>
        </w:tc>
      </w:tr>
      <w:tr>
        <w:trPr>
          <w:trHeight w:val="351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25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Восстановление (замена) перемотки электродвигателя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34 388,26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34 380,36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26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ремня конического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3 696,74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3 695,89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27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венчика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1 237,99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1 237,70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28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редуктора планетарного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8 367,82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8 365,89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29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клапана предохранительного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3 696,74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3 695,89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30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диска вариатора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5 616,75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5 615,46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31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(восстановление) держателя насадок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4 309,98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4 309,00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32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(восстановление) шланга подачи пара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5 616,75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5 615,46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33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ламп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1 237,93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1 237,70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34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мотора вентилятора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8 367,79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8 365,89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35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плата управления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8 367,79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8 365,89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36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электромагнитного клапана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3 805,62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3 804,75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37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сливного клапана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2 613,50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2 612,90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38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выключателей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2 235,24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2 234,73</w:t>
            </w:r>
          </w:p>
        </w:tc>
      </w:tr>
      <w:tr>
        <w:trPr>
          <w:trHeight w:val="295" w:hRule="atLeast"/>
        </w:trPr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39</w:t>
            </w:r>
          </w:p>
        </w:tc>
        <w:tc>
          <w:tcPr>
            <w:tcW w:w="53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Замена мотора редуктора</w:t>
            </w:r>
          </w:p>
        </w:tc>
        <w:tc>
          <w:tcPr>
            <w:tcW w:w="199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8 367,82</w:t>
            </w:r>
          </w:p>
        </w:tc>
        <w:tc>
          <w:tcPr>
            <w:tcW w:w="20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8 365,89</w:t>
            </w:r>
          </w:p>
        </w:tc>
      </w:tr>
    </w:tbl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sectPr>
      <w:footerReference w:type="default" r:id="rId4"/>
      <w:type w:val="nextPage"/>
      <w:pgSz w:w="11906" w:h="16838"/>
      <w:pgMar w:left="1134" w:right="737" w:gutter="0" w:header="0" w:top="85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/>
      <w:numPr>
        <w:ilvl w:val="0"/>
        <w:numId w:val="0"/>
      </w:numPr>
      <w:spacing w:lineRule="auto" w:line="240" w:before="0" w:after="0"/>
      <w:ind w:left="0" w:hanging="0"/>
      <w:jc w:val="center"/>
      <w:outlineLvl w:val="0"/>
      <w:rPr>
        <w:rFonts w:ascii="Tinos" w:hAnsi="Tinos"/>
        <w:b w:val="false"/>
        <w:bCs w:val="false"/>
        <w:sz w:val="16"/>
        <w:szCs w:val="16"/>
      </w:rPr>
    </w:pPr>
    <w:r>
      <w:rPr>
        <w:rFonts w:ascii="Tinos" w:hAnsi="Tinos"/>
        <w:b w:val="false"/>
        <w:bCs w:val="false"/>
        <w:sz w:val="16"/>
        <w:szCs w:val="16"/>
      </w:rPr>
      <w:t>ПРОТОКОЛ № 32515563010/1</w:t>
    </w:r>
  </w:p>
  <w:p>
    <w:pPr>
      <w:pStyle w:val="Style21"/>
      <w:widowControl w:val="false"/>
      <w:numPr>
        <w:ilvl w:val="0"/>
        <w:numId w:val="0"/>
      </w:numPr>
      <w:spacing w:before="0" w:after="0"/>
      <w:ind w:left="0" w:hanging="0"/>
      <w:jc w:val="center"/>
      <w:outlineLvl w:val="0"/>
      <w:rPr>
        <w:rFonts w:ascii="Tinos" w:hAnsi="Tinos"/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заседания закупочной комиссии по подведению итогов закупки на право заключения договора на оказание услуг по текущему ремонту электрооборудования для нужд службы общественного питания ООО «Кольская АЭС-Авто»</w:t>
    </w:r>
  </w:p>
  <w:p>
    <w:pPr>
      <w:pStyle w:val="Style21"/>
      <w:numPr>
        <w:ilvl w:val="0"/>
        <w:numId w:val="0"/>
      </w:numPr>
      <w:spacing w:before="0" w:after="160"/>
      <w:ind w:left="0" w:hanging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5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5</w:t>
    </w:r>
    <w:r>
      <w:rPr>
        <w:sz w:val="16"/>
        <w:szCs w:val="16"/>
        <w:rFonts w:ascii="Times New Roman" w:hAnsi="Times New Roman"/>
      </w:rP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unhideWhenUsed/>
    <w:rPr>
      <w:strike w:val="false"/>
      <w:dstrike w:val="false"/>
      <w:color w:val="0063A4"/>
      <w:u w:val="none"/>
      <w:effect w:val="none"/>
    </w:rPr>
  </w:style>
  <w:style w:type="character" w:styleId="Style13">
    <w:name w:val="FollowedHyperlink"/>
    <w:uiPriority w:val="99"/>
    <w:semiHidden/>
    <w:unhideWhenUsed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4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5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19" w:customStyle="1">
    <w:name w:val="Абзац списка Знак"/>
    <w:link w:val="ListParagraph"/>
    <w:uiPriority w:val="34"/>
    <w:qFormat/>
    <w:locked/>
    <w:rsid w:val="006501c1"/>
    <w:rPr>
      <w:rFonts w:ascii="Arial" w:hAnsi="Arial" w:eastAsia="Times New Roman" w:cs="Times New Roman"/>
      <w:sz w:val="24"/>
      <w:szCs w:val="24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1">
    <w:name w:val="Body Text"/>
    <w:basedOn w:val="Normal"/>
    <w:link w:val="Style17"/>
    <w:uiPriority w:val="99"/>
    <w:unhideWhenUsed/>
    <w:pPr>
      <w:spacing w:before="0" w:after="160"/>
    </w:pPr>
    <w:rPr/>
  </w:style>
  <w:style w:type="paragraph" w:styleId="Style22">
    <w:name w:val="List"/>
    <w:basedOn w:val="Style21"/>
    <w:pPr/>
    <w:rPr>
      <w:rFonts w:ascii="PT Astra Serif" w:hAnsi="PT Astra Serif" w:cs="Noto Sans Devanagari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pPr/>
    <w:rPr>
      <w:sz w:val="20"/>
      <w:szCs w:val="20"/>
    </w:rPr>
  </w:style>
  <w:style w:type="paragraph" w:styleId="Style25">
    <w:name w:val="Колонтитул"/>
    <w:basedOn w:val="Normal"/>
    <w:qFormat/>
    <w:pPr/>
    <w:rPr/>
  </w:style>
  <w:style w:type="paragraph" w:styleId="Style26">
    <w:name w:val="Head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>
    <w:name w:val="Foot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19"/>
    <w:uiPriority w:val="34"/>
    <w:qFormat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8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paragraph" w:styleId="Style29">
    <w:name w:val="Содержимое таблицы"/>
    <w:basedOn w:val="Normal"/>
    <w:qFormat/>
    <w:pPr>
      <w:widowControl w:val="false"/>
      <w:suppressLineNumbers/>
    </w:pPr>
    <w:rPr/>
  </w:style>
  <w:style w:type="paragraph" w:styleId="Style30">
    <w:name w:val="Заголовок таблицы"/>
    <w:basedOn w:val="Style2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rosatom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3E97F-9C97-40D5-88F4-7C1E16F51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Application>LibreOffice/7.5.6.2$Linux_X86_64 LibreOffice_project/50$Build-2</Application>
  <AppVersion>15.0000</AppVersion>
  <Pages>5</Pages>
  <Words>1044</Words>
  <Characters>6627</Characters>
  <CharactersWithSpaces>7436</CharactersWithSpaces>
  <Paragraphs>237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2023-03-24T11:55:00Z</dcterms:created>
  <dc:creator>ss</dc:creator>
  <dc:description/>
  <dc:language>ru-RU</dc:language>
  <cp:lastModifiedBy/>
  <cp:lastPrinted>2026-01-12T09:11:48Z</cp:lastPrinted>
  <dcterms:modified xsi:type="dcterms:W3CDTF">2026-01-12T09:12:25Z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