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П</w:t>
      </w:r>
      <w:r>
        <w:rPr>
          <w:rFonts w:ascii="Tinos" w:hAnsi="Tinos"/>
          <w:b/>
          <w:caps/>
          <w:sz w:val="24"/>
          <w:szCs w:val="24"/>
        </w:rPr>
        <w:t>ротокол</w:t>
      </w:r>
      <w:r>
        <w:rPr>
          <w:rFonts w:ascii="Tinos" w:hAnsi="Tinos"/>
          <w:b/>
          <w:sz w:val="24"/>
          <w:szCs w:val="24"/>
        </w:rPr>
        <w:t xml:space="preserve"> № </w:t>
      </w:r>
      <w:r>
        <w:rPr>
          <w:rFonts w:ascii="Tinos" w:hAnsi="Tinos"/>
          <w:b/>
          <w:sz w:val="24"/>
          <w:szCs w:val="24"/>
        </w:rPr>
        <w:t>168255/</w:t>
      </w:r>
      <w:r>
        <w:rPr>
          <w:rFonts w:ascii="Tinos" w:hAnsi="Tinos"/>
          <w:b/>
          <w:sz w:val="24"/>
          <w:szCs w:val="24"/>
        </w:rPr>
        <w:t>2</w:t>
      </w:r>
    </w:p>
    <w:p>
      <w:pPr>
        <w:pStyle w:val="Default"/>
        <w:jc w:val="center"/>
        <w:rPr>
          <w:rFonts w:ascii="Tinos" w:hAnsi="Tinos"/>
          <w:b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преддоговорных переговоров (изменений условий договора) по итогам закупки на право заключения договора на поставку </w:t>
      </w:r>
      <w:r>
        <w:rPr>
          <w:rFonts w:eastAsia="Times New Roman" w:cs="Times New Roman" w:ascii="Tinos" w:hAnsi="Tinos"/>
          <w:b/>
          <w:bCs/>
          <w:color w:val="000000"/>
          <w:kern w:val="0"/>
          <w:sz w:val="24"/>
          <w:szCs w:val="24"/>
          <w:shd w:fill="FFFFFF" w:val="clear"/>
          <w:lang w:val="ru-RU" w:eastAsia="ru-RU" w:bidi="ar-SA"/>
        </w:rPr>
        <w:t>средств автохимии</w:t>
      </w:r>
    </w:p>
    <w:p>
      <w:pPr>
        <w:pStyle w:val="Default"/>
        <w:jc w:val="center"/>
        <w:rPr>
          <w:rFonts w:ascii="Tinos" w:hAnsi="Tinos" w:eastAsia="Times New Roman" w:cs="Times New Roman"/>
          <w:b/>
          <w:bCs/>
          <w:color w:val="000000"/>
          <w:spacing w:val="-2"/>
          <w:kern w:val="0"/>
          <w:sz w:val="24"/>
          <w:szCs w:val="24"/>
          <w:shd w:fill="FFFFFF" w:val="clear"/>
          <w:lang w:val="x-none" w:eastAsia="ru-RU" w:bidi="ar-SA"/>
        </w:rPr>
      </w:pPr>
      <w:r>
        <w:rPr>
          <w:rFonts w:eastAsia="Times New Roman" w:cs="Times New Roman" w:ascii="Tinos" w:hAnsi="Tinos"/>
          <w:b/>
          <w:bCs/>
          <w:color w:val="000000"/>
          <w:spacing w:val="-2"/>
          <w:kern w:val="0"/>
          <w:sz w:val="24"/>
          <w:szCs w:val="24"/>
          <w:shd w:fill="FFFFFF" w:val="clear"/>
          <w:lang w:val="x-none" w:eastAsia="ru-RU" w:bidi="ar-SA"/>
        </w:rPr>
        <w:t>(ГПЗ</w:t>
      </w:r>
      <w:r>
        <w:rPr>
          <w:rFonts w:eastAsia="Times New Roman" w:cs="Times New Roman" w:ascii="Tinos" w:hAnsi="Tinos"/>
          <w:b/>
          <w:bCs/>
          <w:color w:val="000000"/>
          <w:spacing w:val="-1"/>
          <w:kern w:val="0"/>
          <w:sz w:val="24"/>
          <w:szCs w:val="24"/>
          <w:shd w:fill="FFFFFF" w:val="clear"/>
          <w:lang w:val="x-none" w:eastAsia="ru-RU" w:bidi="ar-SA"/>
        </w:rPr>
        <w:t xml:space="preserve"> 1136968/ 160526</w:t>
      </w:r>
      <w:r>
        <w:rPr>
          <w:rFonts w:eastAsia="Times New Roman" w:cs="Times New Roman" w:ascii="Tinos" w:hAnsi="Tinos"/>
          <w:b/>
          <w:bCs/>
          <w:color w:val="000000"/>
          <w:spacing w:val="-2"/>
          <w:kern w:val="0"/>
          <w:sz w:val="24"/>
          <w:szCs w:val="24"/>
          <w:shd w:fill="FFFFFF" w:val="clear"/>
          <w:lang w:val="x-none" w:eastAsia="ru-RU" w:bidi="ar-SA"/>
        </w:rPr>
        <w:t>)</w:t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883"/>
        <w:gridCol w:w="6151"/>
      </w:tblGrid>
      <w:tr>
        <w:trPr/>
        <w:tc>
          <w:tcPr>
            <w:tcW w:w="3883" w:type="dxa"/>
            <w:tcBorders/>
          </w:tcPr>
          <w:p>
            <w:pPr>
              <w:pStyle w:val="BodyText"/>
              <w:keepLines w:val="false"/>
              <w:widowControl w:val="false"/>
              <w:spacing w:lineRule="auto" w:line="276" w:before="0" w:after="0"/>
              <w:jc w:val="lef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Cs/>
                <w:sz w:val="24"/>
                <w:szCs w:val="24"/>
                <w:lang w:eastAsia="en-US"/>
              </w:rPr>
              <w:t>г. Удомля</w:t>
            </w:r>
          </w:p>
        </w:tc>
        <w:tc>
          <w:tcPr>
            <w:tcW w:w="6151" w:type="dxa"/>
            <w:tcBorders/>
          </w:tcPr>
          <w:p>
            <w:pPr>
              <w:pStyle w:val="BodyText"/>
              <w:keepLines w:val="false"/>
              <w:widowControl w:val="false"/>
              <w:spacing w:lineRule="auto" w:line="276" w:before="0" w:after="0"/>
              <w:jc w:val="right"/>
              <w:rPr>
                <w:rFonts w:ascii="Tinos" w:hAnsi="Tinos"/>
                <w:sz w:val="24"/>
                <w:szCs w:val="24"/>
              </w:rPr>
            </w:pPr>
            <w:r>
              <w:rPr>
                <w:rFonts w:ascii="Tinos" w:hAnsi="Tinos"/>
                <w:bCs/>
                <w:color w:val="000000"/>
                <w:sz w:val="24"/>
                <w:szCs w:val="24"/>
                <w:lang w:eastAsia="en-US"/>
              </w:rPr>
              <w:t>«</w:t>
            </w:r>
            <w:r>
              <w:rPr>
                <w:rFonts w:ascii="Tinos" w:hAnsi="Tinos"/>
                <w:bCs/>
                <w:color w:val="000000"/>
                <w:sz w:val="24"/>
                <w:szCs w:val="24"/>
                <w:lang w:eastAsia="en-US"/>
              </w:rPr>
              <w:t>22</w:t>
            </w:r>
            <w:r>
              <w:rPr>
                <w:rFonts w:ascii="Tinos" w:hAnsi="Tinos"/>
                <w:bCs/>
                <w:color w:val="000000"/>
                <w:sz w:val="24"/>
                <w:szCs w:val="24"/>
                <w:lang w:eastAsia="en-US"/>
              </w:rPr>
              <w:t>» января 2026 г.</w:t>
            </w:r>
          </w:p>
        </w:tc>
      </w:tr>
    </w:tbl>
    <w:p>
      <w:pPr>
        <w:pStyle w:val="Normal"/>
        <w:spacing w:before="46" w:after="0"/>
        <w:ind w:hanging="0" w:left="0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Информация</w:t>
      </w:r>
      <w:r>
        <w:rPr>
          <w:rFonts w:ascii="Tinos" w:hAnsi="Tinos"/>
          <w:b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о</w:t>
      </w:r>
      <w:r>
        <w:rPr>
          <w:rFonts w:ascii="Tinos" w:hAnsi="Tinos"/>
          <w:b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spacing w:val="-2"/>
          <w:sz w:val="24"/>
          <w:szCs w:val="24"/>
        </w:rPr>
        <w:t>закупке:</w:t>
      </w:r>
    </w:p>
    <w:p>
      <w:pPr>
        <w:pStyle w:val="BodyText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Заказчик:</w:t>
      </w:r>
      <w:r>
        <w:rPr>
          <w:rFonts w:ascii="Tinos" w:hAnsi="Tinos"/>
          <w:b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Общество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с</w:t>
      </w:r>
      <w:r>
        <w:rPr>
          <w:rFonts w:ascii="Tinos" w:hAnsi="Tinos"/>
          <w:spacing w:val="-5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ограниченной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ответственностью</w:t>
      </w:r>
      <w:r>
        <w:rPr>
          <w:rFonts w:ascii="Tinos" w:hAnsi="Tinos"/>
          <w:spacing w:val="-5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"КАЛИНИНСКАЯ</w:t>
      </w:r>
      <w:r>
        <w:rPr>
          <w:rFonts w:ascii="Tinos" w:hAnsi="Tinos"/>
          <w:spacing w:val="-6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АЭС-</w:t>
      </w:r>
      <w:r>
        <w:rPr>
          <w:rFonts w:ascii="Tinos" w:hAnsi="Tinos"/>
          <w:spacing w:val="-2"/>
          <w:sz w:val="24"/>
          <w:szCs w:val="24"/>
        </w:rPr>
        <w:t>СЕРВИС".</w:t>
      </w:r>
    </w:p>
    <w:p>
      <w:pPr>
        <w:pStyle w:val="Normal"/>
        <w:spacing w:before="0" w:after="0"/>
        <w:ind w:hanging="0" w:left="0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Организатор</w:t>
      </w:r>
      <w:r>
        <w:rPr>
          <w:rFonts w:ascii="Tinos" w:hAnsi="Tinos"/>
          <w:b/>
          <w:spacing w:val="-8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закупки:</w:t>
      </w:r>
      <w:r>
        <w:rPr>
          <w:rFonts w:ascii="Tinos" w:hAnsi="Tinos"/>
          <w:b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ООО</w:t>
      </w:r>
      <w:r>
        <w:rPr>
          <w:rFonts w:ascii="Tinos" w:hAnsi="Tinos"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"Калининская</w:t>
      </w:r>
      <w:r>
        <w:rPr>
          <w:rFonts w:ascii="Tinos" w:hAnsi="Tinos"/>
          <w:spacing w:val="-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АЭС -</w:t>
      </w:r>
      <w:r>
        <w:rPr>
          <w:rFonts w:ascii="Tinos" w:hAnsi="Tinos"/>
          <w:spacing w:val="-2"/>
          <w:sz w:val="24"/>
          <w:szCs w:val="24"/>
        </w:rPr>
        <w:t>Сервис".</w:t>
      </w:r>
    </w:p>
    <w:p>
      <w:pPr>
        <w:pStyle w:val="BodyText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Способ закупки: </w:t>
      </w:r>
      <w:r>
        <w:rPr>
          <w:rFonts w:ascii="Tinos" w:hAnsi="Tinos"/>
          <w:sz w:val="24"/>
          <w:szCs w:val="24"/>
        </w:rPr>
        <w:t>запрос котировок в электронной форме (МСП), участниками которого</w:t>
      </w:r>
      <w:r>
        <w:rPr>
          <w:rFonts w:ascii="Tinos" w:hAnsi="Tinos"/>
          <w:spacing w:val="40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могут быть только субъекты малого и среднего предпринимательства.</w:t>
      </w:r>
    </w:p>
    <w:p>
      <w:pPr>
        <w:pStyle w:val="BodyText"/>
        <w:jc w:val="both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Предмет закупки: </w:t>
      </w:r>
      <w:r>
        <w:rPr>
          <w:rFonts w:ascii="Tinos" w:hAnsi="Tinos"/>
          <w:sz w:val="24"/>
          <w:szCs w:val="24"/>
        </w:rPr>
        <w:t xml:space="preserve">право заключения договора на </w:t>
      </w:r>
      <w:r>
        <w:rPr>
          <w:rFonts w:eastAsia="Calibri" w:cs="Times New Roman" w:ascii="Tinos" w:hAnsi="Tinos"/>
          <w:bCs/>
          <w:color w:val="000000"/>
          <w:kern w:val="0"/>
          <w:sz w:val="24"/>
          <w:szCs w:val="24"/>
          <w:shd w:fill="FFFFFF" w:val="clear"/>
          <w:lang w:val="ru-RU" w:eastAsia="en-US" w:bidi="ar-SA"/>
        </w:rPr>
        <w:t>п</w:t>
      </w:r>
      <w:r>
        <w:rPr>
          <w:rFonts w:eastAsia="Times New Roman" w:cs="Times New Roman" w:ascii="Tinos" w:hAnsi="Tinos"/>
          <w:bCs/>
          <w:color w:val="000000"/>
          <w:kern w:val="0"/>
          <w:sz w:val="24"/>
          <w:szCs w:val="24"/>
          <w:shd w:fill="FFFFFF" w:val="clear"/>
          <w:lang w:val="ru-RU" w:eastAsia="ru-RU" w:bidi="ar-SA"/>
        </w:rPr>
        <w:t>оставку средств автохимии</w:t>
      </w:r>
      <w:r>
        <w:rPr>
          <w:rFonts w:ascii="Tinos" w:hAnsi="Tinos"/>
          <w:sz w:val="24"/>
          <w:szCs w:val="24"/>
          <w:lang w:val="ru-RU"/>
        </w:rPr>
        <w:t>.</w:t>
      </w:r>
    </w:p>
    <w:p>
      <w:pPr>
        <w:pStyle w:val="BodyText"/>
        <w:ind w:hanging="0" w:left="0" w:right="129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Состав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и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объем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товара:</w:t>
      </w:r>
      <w:r>
        <w:rPr>
          <w:rFonts w:ascii="Tinos" w:hAnsi="Tinos"/>
          <w:b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все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необходимые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сведения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приведены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в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Томе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2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извещении</w:t>
      </w:r>
      <w:r>
        <w:rPr>
          <w:rFonts w:ascii="Tinos" w:hAnsi="Tinos"/>
          <w:spacing w:val="67"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о проведении запроса предложений (закупочной документации)</w:t>
      </w:r>
    </w:p>
    <w:p>
      <w:pPr>
        <w:pStyle w:val="BodyTex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 xml:space="preserve">Срок поставки товара: </w:t>
      </w:r>
      <w:r>
        <w:rPr>
          <w:rFonts w:ascii="Tinos" w:hAnsi="Tinos"/>
          <w:sz w:val="24"/>
          <w:szCs w:val="24"/>
        </w:rPr>
        <w:t xml:space="preserve">В соответствии с требованиями закупочной документации. </w:t>
      </w:r>
    </w:p>
    <w:p>
      <w:pPr>
        <w:pStyle w:val="BodyTex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Начальная</w:t>
      </w:r>
      <w:r>
        <w:rPr>
          <w:rFonts w:ascii="Tinos" w:hAnsi="Tinos"/>
          <w:b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(максимальная)</w:t>
      </w:r>
      <w:r>
        <w:rPr>
          <w:rFonts w:ascii="Tinos" w:hAnsi="Tinos"/>
          <w:b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цена</w:t>
      </w:r>
      <w:r>
        <w:rPr>
          <w:rFonts w:ascii="Tinos" w:hAnsi="Tinos"/>
          <w:b/>
          <w:spacing w:val="40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договора:</w:t>
      </w:r>
      <w:r>
        <w:rPr>
          <w:rFonts w:eastAsia="Times New Roman" w:cs="Times New Roman" w:ascii="Tinos" w:hAnsi="Tinos"/>
          <w:sz w:val="24"/>
          <w:szCs w:val="24"/>
          <w:lang w:val="ru-RU" w:eastAsia="en-US" w:bidi="ar-SA"/>
        </w:rPr>
        <w:t xml:space="preserve"> </w:t>
      </w:r>
      <w:r>
        <w:rPr>
          <w:rFonts w:eastAsia="Calibri" w:cs="Times New Roman" w:ascii="Tinos" w:hAnsi="Tinos"/>
          <w:b w:val="false"/>
          <w:bCs w:val="false"/>
          <w:sz w:val="24"/>
          <w:szCs w:val="24"/>
          <w:lang w:val="ru-RU" w:eastAsia="en-US" w:bidi="ar-SA"/>
        </w:rPr>
        <w:t>2 437 499,69 (Два миллиона четыреста тридцать семь тысяч четыреста девяносто девять тысяч) рублей 69 копеек с учетом всех налогов, сборов и прочих расходов в соответствии с законодательством РФ</w:t>
      </w:r>
      <w:r>
        <w:rPr>
          <w:rFonts w:eastAsia="Times New Roman" w:cs="Times New Roman" w:ascii="Tinos" w:hAnsi="Tinos"/>
          <w:b w:val="false"/>
          <w:bCs w:val="false"/>
          <w:sz w:val="24"/>
          <w:szCs w:val="24"/>
          <w:lang w:val="x-none" w:eastAsia="en-US" w:bidi="ar-SA"/>
        </w:rPr>
        <w:t>.</w:t>
      </w:r>
    </w:p>
    <w:p>
      <w:pPr>
        <w:pStyle w:val="Normal"/>
        <w:spacing w:before="0" w:after="0"/>
        <w:ind w:hanging="0" w:left="0" w:right="0"/>
        <w:jc w:val="left"/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Начальная</w:t>
      </w:r>
      <w:r>
        <w:rPr>
          <w:rFonts w:ascii="Tinos" w:hAnsi="Tinos"/>
          <w:b/>
          <w:spacing w:val="-4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(максимальная)</w:t>
      </w:r>
      <w:r>
        <w:rPr>
          <w:rFonts w:ascii="Tinos" w:hAnsi="Tinos"/>
          <w:b/>
          <w:spacing w:val="-3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цена</w:t>
      </w:r>
      <w:r>
        <w:rPr>
          <w:rFonts w:ascii="Tinos" w:hAnsi="Tinos"/>
          <w:b/>
          <w:spacing w:val="-2"/>
          <w:sz w:val="24"/>
          <w:szCs w:val="24"/>
        </w:rPr>
        <w:t xml:space="preserve"> </w:t>
      </w:r>
      <w:r>
        <w:rPr>
          <w:rFonts w:ascii="Tinos" w:hAnsi="Tinos"/>
          <w:b/>
          <w:sz w:val="24"/>
          <w:szCs w:val="24"/>
        </w:rPr>
        <w:t>единицы</w:t>
      </w:r>
      <w:r>
        <w:rPr>
          <w:rFonts w:ascii="Tinos" w:hAnsi="Tinos"/>
          <w:b/>
          <w:spacing w:val="-2"/>
          <w:sz w:val="24"/>
          <w:szCs w:val="24"/>
        </w:rPr>
        <w:t xml:space="preserve"> продукции:</w:t>
      </w:r>
    </w:p>
    <w:tbl>
      <w:tblPr>
        <w:tblW w:w="9645" w:type="dxa"/>
        <w:jc w:val="left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1005"/>
        <w:gridCol w:w="39"/>
        <w:gridCol w:w="6036"/>
        <w:gridCol w:w="2564"/>
      </w:tblGrid>
      <w:tr>
        <w:trPr>
          <w:trHeight w:val="76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Номер позиции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GUID позиции</w:t>
            </w:r>
          </w:p>
        </w:tc>
        <w:tc>
          <w:tcPr>
            <w:tcW w:w="6036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Наименование позиции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22"/>
                <w:szCs w:val="22"/>
              </w:rPr>
            </w:pPr>
            <w:r>
              <w:rPr>
                <w:rFonts w:ascii="Tinos" w:hAnsi="Tinos"/>
                <w:b/>
                <w:sz w:val="22"/>
                <w:szCs w:val="22"/>
              </w:rPr>
              <w:t>Цена за единицу с НДС</w:t>
            </w:r>
          </w:p>
        </w:tc>
      </w:tr>
      <w:tr>
        <w:trPr>
          <w:trHeight w:val="28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e1c4e59e-75bc-41f4-ad9d-35aff9f2fadd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карбюратора CC-200-R Abro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825,00</w:t>
            </w:r>
          </w:p>
        </w:tc>
      </w:tr>
      <w:tr>
        <w:trPr>
          <w:trHeight w:val="27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61a2cd1e-2263-4ca9-8fe7-82f6e2d42588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Средство моющее Деталан А-10 10л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3 985,00</w:t>
            </w:r>
          </w:p>
        </w:tc>
      </w:tr>
      <w:tr>
        <w:trPr>
          <w:trHeight w:val="311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43c70e7c-6c86-4941-8c63-c29555a596f2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Аксамид LF 7040195 5л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1 827,50</w:t>
            </w:r>
          </w:p>
        </w:tc>
      </w:tr>
      <w:tr>
        <w:trPr>
          <w:trHeight w:val="301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ca1158d1-6f25-428b-890f-c1c824a14c58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Полироль пластика Polyrole Matte 110395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350,00</w:t>
            </w:r>
          </w:p>
        </w:tc>
      </w:tr>
      <w:tr>
        <w:trPr>
          <w:trHeight w:val="192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365301b3-960b-4b6c-a57e-8b12746b9d4c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Автошампунь Active Foam PF-40 A07544S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3 860,00</w:t>
            </w:r>
          </w:p>
        </w:tc>
      </w:tr>
      <w:tr>
        <w:trPr>
          <w:trHeight w:val="26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e880cbc3-87c3-4252-8214-e5eb6c4638cd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Формирователь прокладок 51817 6мл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952,50</w:t>
            </w:r>
          </w:p>
        </w:tc>
      </w:tr>
      <w:tr>
        <w:trPr>
          <w:trHeight w:val="28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7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cf7d4e7c-f5c5-4c31-8e9f-16cfee96fcb8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Герметик Ultra Grey 89148 Permatex 99г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1 905,00</w:t>
            </w:r>
          </w:p>
        </w:tc>
      </w:tr>
      <w:tr>
        <w:trPr>
          <w:trHeight w:val="250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12c67c1d-d4bf-43ec-b5fb-3065d25b57d6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Смазка 7387 400мл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1 767,50</w:t>
            </w:r>
          </w:p>
        </w:tc>
      </w:tr>
      <w:tr>
        <w:trPr>
          <w:trHeight w:val="21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9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5c38f2fd-eb4f-4a5c-914f-6495db867b65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Клей супер Момент 608976 3г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152,50</w:t>
            </w:r>
          </w:p>
        </w:tc>
      </w:tr>
      <w:tr>
        <w:trPr>
          <w:trHeight w:val="17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10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e835a4d5-3803-4cfa-85a2-e614e4154810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Смазка 0.3л 3955 Liqui Moly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1 033,33</w:t>
            </w:r>
          </w:p>
        </w:tc>
      </w:tr>
      <w:tr>
        <w:trPr>
          <w:trHeight w:val="26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11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d30b1a3c-986f-43d0-99f6-796834af2b9c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Фиксатор резьбы анаэробный DD6670 3мл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340,00</w:t>
            </w:r>
          </w:p>
        </w:tc>
      </w:tr>
      <w:tr>
        <w:trPr>
          <w:trHeight w:val="240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12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66ad2875-5c73-4424-a106-9d9608ecf441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Фиксатор резьбы DD6687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307,50</w:t>
            </w:r>
          </w:p>
        </w:tc>
      </w:tr>
      <w:tr>
        <w:trPr>
          <w:trHeight w:val="22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13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c6c5e33d-c7fd-4397-9cd3-41a1c094fed2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Активатор SF 7649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1 020,00</w:t>
            </w:r>
          </w:p>
        </w:tc>
      </w:tr>
      <w:tr>
        <w:trPr>
          <w:trHeight w:val="268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14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dfca3e38-9749-4de9-bb54-84e19fd6776f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Клей 326 50мл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900,00</w:t>
            </w:r>
          </w:p>
        </w:tc>
      </w:tr>
      <w:tr>
        <w:trPr>
          <w:trHeight w:val="257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15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4ff263c8-7629-4082-8575-e94d52310d37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Спрей Kupfer-Spray 3970 Liqui Moly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1 056,67</w:t>
            </w:r>
          </w:p>
        </w:tc>
      </w:tr>
      <w:tr>
        <w:trPr>
          <w:trHeight w:val="21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16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3dd32e6d-d9da-4fd8-a137-134b551d9f4e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Салфетка в тубусе СА-201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370,00</w:t>
            </w:r>
          </w:p>
        </w:tc>
      </w:tr>
      <w:tr>
        <w:trPr>
          <w:trHeight w:val="23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17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fcd477c8-c3a4-48a9-a7ea-a941800c1f3a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Губка 1280369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190,00</w:t>
            </w:r>
          </w:p>
        </w:tc>
      </w:tr>
      <w:tr>
        <w:trPr>
          <w:trHeight w:val="27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18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acdbd2bc-be40-4a6c-987b-b275e34a04e2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Набор салфеток CA-120 10шт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351,67</w:t>
            </w:r>
          </w:p>
        </w:tc>
      </w:tr>
      <w:tr>
        <w:trPr>
          <w:trHeight w:val="26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19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43fb85a6-8f1a-43af-b468-58c83112f60f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Химчистка сухая Interior 1 52998 500мл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477,50</w:t>
            </w:r>
          </w:p>
        </w:tc>
      </w:tr>
      <w:tr>
        <w:trPr>
          <w:trHeight w:val="25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20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f9a6ac84-38eb-403d-95dd-f9f51762bf3a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Материал протирочный WypAll L20 7240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2 272,50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21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319c3f4d-928d-49c5-ba1b-f0579867cf92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Средство Антидождь Clearvue 52887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330,00</w:t>
            </w:r>
          </w:p>
        </w:tc>
      </w:tr>
      <w:tr>
        <w:trPr>
          <w:trHeight w:val="277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22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ddcce116-5c22-4474-82fa-e4f7e4e9e53a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Antibitum 150105 500мл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492,50</w:t>
            </w:r>
          </w:p>
        </w:tc>
      </w:tr>
      <w:tr>
        <w:trPr>
          <w:trHeight w:val="266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23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dd391262-5f10-478a-af4e-915e3495ab7f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Средство чистящее HG5217 Hi-Gear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1 520,00</w:t>
            </w:r>
          </w:p>
        </w:tc>
      </w:tr>
      <w:tr>
        <w:trPr>
          <w:trHeight w:val="24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24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f377db6d-1fca-4aff-8a4f-02d63645f3c6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Преобразователь Цинкарь 500мл Агат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447,50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25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e31045c1-d4af-4f70-81e3-f60fbab01441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Средство Clean glass 110393 600мл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186,67</w:t>
            </w:r>
          </w:p>
        </w:tc>
      </w:tr>
      <w:tr>
        <w:trPr>
          <w:trHeight w:val="26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26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e41513b0-3876-4f10-a088-09914b7e5595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Суперантигель HG3421 444мл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1 950,00</w:t>
            </w:r>
          </w:p>
        </w:tc>
      </w:tr>
      <w:tr>
        <w:trPr>
          <w:trHeight w:val="19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27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3e22b468-caaf-4a55-a6ad-d6bc90a619f0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Жидкость HG3319 Hi-Gear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825,00</w:t>
            </w:r>
          </w:p>
        </w:tc>
      </w:tr>
      <w:tr>
        <w:trPr>
          <w:trHeight w:val="207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28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f00575f2-5a3a-4b4b-b646-448c3d1890e9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Состав для ремонта HG9029 0,444л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1 141,67</w:t>
            </w:r>
          </w:p>
        </w:tc>
      </w:tr>
      <w:tr>
        <w:trPr>
          <w:trHeight w:val="282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29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8e0103bd-2218-4c52-bb32-e3790d39b7a2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Кондиционер и герметик SP7029 946мл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1 412,50</w:t>
            </w:r>
          </w:p>
        </w:tc>
      </w:tr>
      <w:tr>
        <w:trPr>
          <w:trHeight w:val="19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30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f0b16a98-95a6-43bd-8d53-ecbddc7e1341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Фреон R134А 13,6кг баллон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27 581,66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31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6040238f-c1d5-4c6d-bf9a-41c29592b805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Масло Premium PAG 46 1л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2 380,00</w:t>
            </w:r>
          </w:p>
        </w:tc>
      </w:tr>
      <w:tr>
        <w:trPr>
          <w:trHeight w:val="17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32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9fe69cac-0cda-44c4-8e87-2aded5f7d115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Краситель ультрафиолетовый Brilliant 250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1 690,00</w:t>
            </w:r>
          </w:p>
        </w:tc>
      </w:tr>
      <w:tr>
        <w:trPr>
          <w:trHeight w:val="31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33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e08b9b2c-15ef-4cad-bd9d-e5784b8e865a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Набор для вклейки стёкол 5595 SET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2 023,33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34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e801a443-ed6f-4a08-ab2d-a098d11bb030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Клей полиуретановый 5590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1 073,33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35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a419a406-6644-41c6-821c-efec11380403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Грунт U-Primer 130 30мл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883,33</w:t>
            </w:r>
          </w:p>
        </w:tc>
      </w:tr>
      <w:tr>
        <w:trPr>
          <w:trHeight w:val="266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36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c9064bcb-1808-4b37-8759-f05875ef1c4d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Грунт U-Primer 130 250мл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3 421,67</w:t>
            </w:r>
          </w:p>
        </w:tc>
      </w:tr>
      <w:tr>
        <w:trPr>
          <w:trHeight w:val="30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37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17328693-16d7-4313-9f75-f2c0e90b4688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Полироль для шин Black brilliance 110399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892,50</w:t>
            </w:r>
          </w:p>
        </w:tc>
      </w:tr>
      <w:tr>
        <w:trPr>
          <w:trHeight w:val="23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38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8427b27f-4458-461a-a6ef-a5717e4ae22a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Масло BC-VPO 68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1 496,66</w:t>
            </w:r>
          </w:p>
        </w:tc>
      </w:tr>
      <w:tr>
        <w:trPr>
          <w:trHeight w:val="332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39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f68cfc39-4b56-4450-bd07-984f45e91472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Антифриз-концентрат Frostschutz 7662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2 335,00</w:t>
            </w:r>
          </w:p>
        </w:tc>
      </w:tr>
      <w:tr>
        <w:trPr>
          <w:trHeight w:val="259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40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07d6847c-2b17-40d8-90dd-49b1115c6fe2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Состав антикоррозийный 9300200003 2,5кг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2 248,33</w:t>
            </w:r>
          </w:p>
        </w:tc>
      </w:tr>
      <w:tr>
        <w:trPr>
          <w:trHeight w:val="248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41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46aaca38-2261-438f-b9a6-71927b4e507d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Состав антикоррозийный 9300200010 1л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1 030,00</w:t>
            </w:r>
          </w:p>
        </w:tc>
      </w:tr>
      <w:tr>
        <w:trPr>
          <w:trHeight w:val="286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42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c23cfbe8-9d8e-48ad-9856-19c039c4025d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Состав антикоррозийный Мовиль 1л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620,00</w:t>
            </w:r>
          </w:p>
        </w:tc>
      </w:tr>
      <w:tr>
        <w:trPr>
          <w:trHeight w:val="27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43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706348cc-4561-41ec-9171-cdd2b9278180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Антигравий HS RX N-09 1л чёрный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600,00</w:t>
            </w:r>
          </w:p>
        </w:tc>
      </w:tr>
      <w:tr>
        <w:trPr>
          <w:trHeight w:val="26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44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3277efc8-9b5d-4e63-8d5b-439acde27756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Жидкость для тестирован. форсунок Ln2004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5 476,67</w:t>
            </w:r>
          </w:p>
        </w:tc>
      </w:tr>
      <w:tr>
        <w:trPr>
          <w:trHeight w:val="31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45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14201651-29c4-4ef2-80eb-4a3132e0052c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Паста Auspuff-Reparatur-Paste 7559 0,2кг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1 090,00</w:t>
            </w:r>
          </w:p>
        </w:tc>
      </w:tr>
      <w:tr>
        <w:trPr>
          <w:trHeight w:val="238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46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fc982506-4ae9-4b0c-a1e3-4ea0bdb99408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Паста монтаж. Auspuff-Montage-Paste 3342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982,50</w:t>
            </w:r>
          </w:p>
        </w:tc>
      </w:tr>
      <w:tr>
        <w:trPr>
          <w:trHeight w:val="277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47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51578e86-8186-4e77-849b-882404ac5e9f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Припой ПОС-61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1 646,66</w:t>
            </w:r>
          </w:p>
        </w:tc>
      </w:tr>
      <w:tr>
        <w:trPr>
          <w:trHeight w:val="266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48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a66dea6d-0dbf-4218-a033-6e53e20c635e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Кислота ортофосфорная KIOR-1000 1л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1 450,00</w:t>
            </w:r>
          </w:p>
        </w:tc>
      </w:tr>
      <w:tr>
        <w:trPr>
          <w:trHeight w:val="242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49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ca2b8e56-1c8b-4136-80f7-e852348d482d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Флюс-гель RMA-223 10мл Rusflux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307,50</w:t>
            </w:r>
          </w:p>
        </w:tc>
      </w:tr>
      <w:tr>
        <w:trPr>
          <w:trHeight w:val="29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50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ff04b010-6dcf-4f26-9e8c-e0ac8ec2f90f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Канифоль сосновая 20г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72,50</w:t>
            </w:r>
          </w:p>
        </w:tc>
      </w:tr>
      <w:tr>
        <w:trPr>
          <w:trHeight w:val="269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51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8ce3fcd3-b153-4fe3-a17f-4a0db3532b29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Флюс нейтральный ФКСп Solins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300,00</w:t>
            </w:r>
          </w:p>
        </w:tc>
      </w:tr>
      <w:tr>
        <w:trPr>
          <w:trHeight w:val="288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52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3e6e1951-f6b7-413e-aa18-e3738f5826b7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Припой-катушка ПОС-61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600,00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53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75476b49-515d-452e-bded-8f7c70da3a2a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Жидкость дымовая ODA SG01L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560,00</w:t>
            </w:r>
          </w:p>
        </w:tc>
      </w:tr>
      <w:tr>
        <w:trPr>
          <w:trHeight w:val="283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54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2e0678a8-c50c-4cc1-bdcd-2462779b01ee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Герметик REINZ 70-31414-20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2 300,00</w:t>
            </w:r>
          </w:p>
        </w:tc>
      </w:tr>
      <w:tr>
        <w:trPr>
          <w:trHeight w:val="229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55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a530a81c-6f86-424f-94b8-51ed57245752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Средство моющее ВУК-Ф 20кг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880,00</w:t>
            </w:r>
          </w:p>
        </w:tc>
      </w:tr>
      <w:tr>
        <w:trPr>
          <w:trHeight w:val="246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56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6cadf275-9185-4632-9bb6-0239b0af4e2e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салона 125197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1 351,67</w:t>
            </w:r>
          </w:p>
        </w:tc>
      </w:tr>
      <w:tr>
        <w:trPr>
          <w:trHeight w:val="27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57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f648934b-42fd-4148-a879-44cf3b749e37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Клей аэрозольный DD6646N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470,00</w:t>
            </w:r>
          </w:p>
        </w:tc>
      </w:tr>
      <w:tr>
        <w:trPr>
          <w:trHeight w:val="217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58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ee25e114-1a5b-494e-8dc7-7dfc641c3d1c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Средство Vinet A4602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1 588,33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59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f25c0d2b-d55c-4bbc-9b1d-c6fb0c9ff5e2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тормозов 8412 650мл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511,67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60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dede56aa-57c7-42e9-bd43-30f25813aedb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Спрей Electronic-Spray 8047 0,2л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1 105,00</w:t>
            </w:r>
          </w:p>
        </w:tc>
      </w:tr>
      <w:tr>
        <w:trPr>
          <w:trHeight w:val="26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61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fa1e8a6b-6aa4-4307-982c-0ecf0f44b063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Schnell-Reiniger 1900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893,33</w:t>
            </w:r>
          </w:p>
        </w:tc>
      </w:tr>
      <w:tr>
        <w:trPr>
          <w:trHeight w:val="230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62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f95ef394-b4ef-4b2b-938d-d36abd5d6d61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Герметик внутреннего слоя 14-128A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752,50</w:t>
            </w:r>
          </w:p>
        </w:tc>
      </w:tr>
      <w:tr>
        <w:trPr>
          <w:trHeight w:val="206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63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e644703b-8ef6-40f3-aefc-53dcc7258f3c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топливной системы Дизель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961,67</w:t>
            </w:r>
          </w:p>
        </w:tc>
      </w:tr>
      <w:tr>
        <w:trPr>
          <w:trHeight w:val="212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64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d9d0e2d6-5e43-483a-81b6-c43ae8b7b50c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Очиститель топливной системы Бензин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916,67</w:t>
            </w:r>
          </w:p>
        </w:tc>
      </w:tr>
      <w:tr>
        <w:trPr>
          <w:trHeight w:val="225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65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2e22def4-f593-4e3f-ad13-f271b6421d53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Паста для притирки клапанов 80036 42г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1 551,67</w:t>
            </w:r>
          </w:p>
        </w:tc>
      </w:tr>
      <w:tr>
        <w:trPr>
          <w:trHeight w:val="284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66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0a18b775-c26b-43d4-8332-5afcf18c57f8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Смазка керамическая Валера 8525 400мл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691,67</w:t>
            </w:r>
          </w:p>
        </w:tc>
      </w:tr>
      <w:tr>
        <w:trPr>
          <w:trHeight w:val="260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67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86e01c50-b3c9-41ac-986d-15719d8c175b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Припой без флюса 146 71404001 ф2мм 1кг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480,00</w:t>
            </w:r>
          </w:p>
        </w:tc>
      </w:tr>
      <w:tr>
        <w:trPr>
          <w:trHeight w:val="230" w:hRule="atLeast"/>
        </w:trPr>
        <w:tc>
          <w:tcPr>
            <w:tcW w:w="100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68</w:t>
            </w:r>
          </w:p>
        </w:tc>
        <w:tc>
          <w:tcPr>
            <w:tcW w:w="39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c5ef5127-4744-4ed0-bd45-0029a38c31b9</w:t>
            </w:r>
          </w:p>
        </w:tc>
        <w:tc>
          <w:tcPr>
            <w:tcW w:w="6036" w:type="dxa"/>
            <w:tcBorders/>
          </w:tcPr>
          <w:p>
            <w:pPr>
              <w:pStyle w:val="Normal"/>
              <w:tabs>
                <w:tab w:val="clear" w:pos="708"/>
              </w:tabs>
              <w:jc w:val="lef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Флюс Бура TH-BYRA-1000 1кг</w:t>
            </w:r>
          </w:p>
        </w:tc>
        <w:tc>
          <w:tcPr>
            <w:tcW w:w="2564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jc w:val="right"/>
              <w:rPr>
                <w:rFonts w:ascii="Tinos" w:hAnsi="Tinos"/>
                <w:sz w:val="18"/>
                <w:szCs w:val="18"/>
              </w:rPr>
            </w:pPr>
            <w:r>
              <w:rPr>
                <w:rFonts w:ascii="Tinos" w:hAnsi="Tinos"/>
                <w:sz w:val="18"/>
                <w:szCs w:val="18"/>
              </w:rPr>
              <w:t>1 173,34</w:t>
            </w:r>
          </w:p>
        </w:tc>
      </w:tr>
    </w:tbl>
    <w:p>
      <w:pPr>
        <w:pStyle w:val="BodyText"/>
        <w:spacing w:before="2" w:after="0"/>
        <w:ind w:hanging="0" w:left="0" w:right="127"/>
        <w:jc w:val="both"/>
        <w:rPr/>
      </w:pP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 xml:space="preserve">Извещение о проведении закупки (закупочная документация) опубликовано «25» декабря 2025 года на официальном государственном сайте </w:t>
      </w:r>
      <w:hyperlink r:id="rId2">
        <w:r>
          <w:rPr>
            <w:rStyle w:val="Style8"/>
            <w:rFonts w:eastAsia="Times New Roman" w:cs="Times New Roman" w:ascii="Tinos" w:hAnsi="Tinos"/>
            <w:b w:val="false"/>
            <w:bCs w:val="false"/>
            <w:color w:val="0000FF"/>
            <w:spacing w:val="-2"/>
            <w:sz w:val="24"/>
            <w:szCs w:val="24"/>
            <w:u w:val="single" w:color="0063A4"/>
            <w:lang w:val="ru-RU" w:eastAsia="en-US" w:bidi="ar-SA"/>
          </w:rPr>
          <w:t>http://www.zakupki.gov.ru</w:t>
        </w:r>
      </w:hyperlink>
      <w:r>
        <w:rPr>
          <w:rFonts w:eastAsia="Times New Roman" w:cs="Times New Roman" w:ascii="Tinos" w:hAnsi="Tinos"/>
          <w:b w:val="false"/>
          <w:bCs w:val="false"/>
          <w:color w:val="0000FF"/>
          <w:spacing w:val="-2"/>
          <w:sz w:val="24"/>
          <w:szCs w:val="24"/>
          <w:u w:val="single" w:color="0063A4"/>
          <w:lang w:val="ru-RU" w:eastAsia="en-US" w:bidi="ar-SA"/>
        </w:rPr>
        <w:t>/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, закупка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80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32515575146, на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5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официальном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7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сайте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8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по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7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закупкам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7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атомной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8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отрасли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7"/>
          <w:sz w:val="24"/>
          <w:szCs w:val="24"/>
          <w:lang w:val="ru-RU" w:eastAsia="en-US" w:bidi="ar-SA"/>
        </w:rPr>
        <w:t xml:space="preserve"> </w:t>
      </w:r>
      <w:hyperlink r:id="rId3">
        <w:r>
          <w:rPr>
            <w:rStyle w:val="Style8"/>
            <w:rFonts w:eastAsia="Times New Roman" w:cs="Times New Roman" w:ascii="Tinos" w:hAnsi="Tinos"/>
            <w:b w:val="false"/>
            <w:bCs w:val="false"/>
            <w:color w:val="0000FF"/>
            <w:spacing w:val="-2"/>
            <w:sz w:val="24"/>
            <w:szCs w:val="24"/>
            <w:u w:val="single" w:color="0063A4"/>
            <w:lang w:val="ru-RU" w:eastAsia="en-US" w:bidi="ar-SA"/>
          </w:rPr>
          <w:t>http://zakupki.rosatom.ru</w:t>
        </w:r>
      </w:hyperlink>
      <w:r>
        <w:rPr>
          <w:rFonts w:eastAsia="Times New Roman" w:cs="Times New Roman" w:ascii="Tinos" w:hAnsi="Tinos"/>
          <w:b w:val="false"/>
          <w:bCs w:val="false"/>
          <w:color w:val="0000FF"/>
          <w:spacing w:val="-2"/>
          <w:sz w:val="24"/>
          <w:szCs w:val="24"/>
          <w:u w:val="single" w:color="0063A4"/>
          <w:lang w:val="ru-RU" w:eastAsia="en-US" w:bidi="ar-SA"/>
        </w:rPr>
        <w:t>/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,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7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закупка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58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10"/>
          <w:sz w:val="24"/>
          <w:szCs w:val="24"/>
          <w:lang w:val="ru-RU" w:eastAsia="en-US" w:bidi="ar-SA"/>
        </w:rPr>
        <w:t>№ 160526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>,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1"/>
          <w:sz w:val="24"/>
          <w:szCs w:val="24"/>
          <w:lang w:val="ru-RU" w:eastAsia="en-US" w:bidi="ar-SA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 xml:space="preserve">на </w:t>
      </w:r>
      <w:r>
        <w:rPr>
          <w:rStyle w:val="Hyperlink"/>
          <w:rFonts w:eastAsia="Calibri" w:cs="Times New Roman" w:ascii="Tinos" w:hAnsi="Tinos"/>
          <w:b w:val="false"/>
          <w:bCs/>
          <w:i/>
          <w:iCs w:val="false"/>
          <w:color w:val="000000"/>
          <w:spacing w:val="-6"/>
          <w:kern w:val="0"/>
          <w:sz w:val="24"/>
          <w:szCs w:val="24"/>
          <w:shd w:fill="FFFFFF" w:val="clear"/>
          <w:lang w:val="x-none" w:eastAsia="en-US" w:bidi="ar-SA"/>
        </w:rPr>
        <w:t xml:space="preserve">ЭТП ЭТС (НЭП) </w:t>
      </w:r>
      <w:hyperlink r:id="rId4">
        <w:r>
          <w:rPr>
            <w:rStyle w:val="Hyperlink"/>
            <w:rFonts w:eastAsia="Calibri" w:cs="Times New Roman" w:ascii="Tinos" w:hAnsi="Tinos"/>
            <w:b w:val="false"/>
            <w:bCs/>
            <w:i/>
            <w:iCs w:val="false"/>
            <w:color w:val="000000"/>
            <w:spacing w:val="-6"/>
            <w:kern w:val="0"/>
            <w:sz w:val="24"/>
            <w:szCs w:val="24"/>
            <w:shd w:fill="FFFFFF" w:val="clear"/>
            <w:lang w:val="x-none" w:eastAsia="en-US" w:bidi="ar-SA"/>
          </w:rPr>
          <w:t>http://www.etp-ets.ru</w:t>
        </w:r>
      </w:hyperlink>
      <w:hyperlink r:id="rId5">
        <w:r>
          <w:rPr>
            <w:rStyle w:val="Style8"/>
            <w:rFonts w:eastAsia="Times New Roman" w:cs="Times New Roman" w:ascii="Tinos" w:hAnsi="Tinos"/>
            <w:b w:val="false"/>
            <w:bCs w:val="false"/>
            <w:color w:val="000000"/>
            <w:spacing w:val="-2"/>
            <w:sz w:val="24"/>
            <w:szCs w:val="24"/>
            <w:lang w:val="ru-RU" w:eastAsia="en-US" w:bidi="ar-SA"/>
          </w:rPr>
          <w:t>,</w:t>
        </w:r>
      </w:hyperlink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  <w:t xml:space="preserve"> закупка № 32515575146.</w:t>
      </w:r>
    </w:p>
    <w:p>
      <w:pPr>
        <w:pStyle w:val="BodyText"/>
        <w:spacing w:before="2" w:after="0"/>
        <w:ind w:hanging="0" w:left="0" w:right="127"/>
        <w:jc w:val="both"/>
        <w:rPr>
          <w:rFonts w:ascii="Tinos" w:hAnsi="Tinos" w:eastAsia="Times New Roman" w:cs="Times New Roman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</w:pPr>
      <w:r>
        <w:rPr>
          <w:rFonts w:eastAsia="Times New Roman" w:cs="Times New Roman" w:ascii="Tinos" w:hAnsi="Tinos"/>
          <w:b w:val="false"/>
          <w:bCs w:val="false"/>
          <w:color w:val="000000"/>
          <w:spacing w:val="-2"/>
          <w:sz w:val="24"/>
          <w:szCs w:val="24"/>
          <w:lang w:val="ru-RU" w:eastAsia="en-US" w:bidi="ar-SA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nos" w:hAnsi="Tinos"/>
          <w:sz w:val="24"/>
          <w:szCs w:val="24"/>
        </w:rPr>
      </w:pPr>
      <w:r>
        <w:rPr>
          <w:rFonts w:ascii="Tinos" w:hAnsi="Tinos"/>
          <w:b/>
          <w:sz w:val="24"/>
          <w:szCs w:val="24"/>
        </w:rPr>
        <w:t>Условия заключаемого договора</w:t>
      </w:r>
      <w:r>
        <w:rPr>
          <w:rFonts w:ascii="Tinos" w:hAnsi="Tinos"/>
          <w:sz w:val="24"/>
          <w:szCs w:val="24"/>
        </w:rPr>
        <w:t xml:space="preserve"> определяются путем объединения исходного проекта договора, приведенного в закупочной документации, и заявки единственного участника закупки, включая состав и объем поставок товара,</w:t>
      </w:r>
      <w:r>
        <w:rPr>
          <w:rFonts w:ascii="Tinos" w:hAnsi="Tinos"/>
          <w:b/>
          <w:i/>
          <w:sz w:val="24"/>
          <w:szCs w:val="24"/>
        </w:rPr>
        <w:t xml:space="preserve"> </w:t>
      </w:r>
      <w:r>
        <w:rPr>
          <w:rFonts w:ascii="Tinos" w:hAnsi="Tinos"/>
          <w:sz w:val="24"/>
          <w:szCs w:val="24"/>
        </w:rPr>
        <w:t>сроки поставки товара, учетом данных преддоговорных переговоров.</w:t>
      </w:r>
    </w:p>
    <w:p>
      <w:pPr>
        <w:pStyle w:val="Normal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Normal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 xml:space="preserve">Ценовое предложение </w:t>
      </w:r>
      <w:r>
        <w:rPr>
          <w:rFonts w:ascii="Tinos" w:hAnsi="Tinos"/>
          <w:b/>
          <w:sz w:val="24"/>
          <w:szCs w:val="24"/>
        </w:rPr>
        <w:t xml:space="preserve">единственного участника </w:t>
      </w:r>
      <w:r>
        <w:rPr>
          <w:rFonts w:eastAsia="Calibri" w:ascii="Tinos" w:hAnsi="Tinos" w:eastAsiaTheme="minorHAnsi"/>
          <w:b/>
          <w:sz w:val="24"/>
          <w:szCs w:val="24"/>
          <w:lang w:eastAsia="en-US"/>
        </w:rPr>
        <w:t xml:space="preserve">составляет:  </w:t>
      </w:r>
      <w:r>
        <w:rPr>
          <w:rFonts w:eastAsia="Times New Roman" w:cs="Times New Roman" w:ascii="Tinos" w:hAnsi="Tinos"/>
          <w:b/>
          <w:bCs/>
          <w:i/>
          <w:iCs/>
          <w:sz w:val="24"/>
          <w:szCs w:val="24"/>
          <w:shd w:fill="auto" w:val="clear"/>
          <w:lang w:eastAsia="en-US"/>
        </w:rPr>
        <w:t xml:space="preserve">2 233 652,40 (Два миллиона двести тридцать три тысячи шестьсот пятьдесят два) рубля, 40 копеек </w:t>
      </w:r>
      <w:r>
        <w:rPr>
          <w:rFonts w:eastAsia="Times New Roman" w:cs="Times New Roman" w:ascii="Tinos" w:hAnsi="Tinos"/>
          <w:b/>
          <w:bCs/>
          <w:i/>
          <w:iCs/>
          <w:sz w:val="24"/>
          <w:szCs w:val="24"/>
          <w:u w:val="single"/>
          <w:shd w:fill="auto" w:val="clear"/>
          <w:lang w:eastAsia="en-US"/>
        </w:rPr>
        <w:t>без учета НДС</w:t>
      </w:r>
      <w:r>
        <w:rPr>
          <w:rFonts w:eastAsia="Times New Roman" w:cs="Times New Roman" w:ascii="Tinos" w:hAnsi="Tinos"/>
          <w:b/>
          <w:bCs/>
          <w:i/>
          <w:iCs/>
          <w:sz w:val="24"/>
          <w:szCs w:val="24"/>
          <w:u w:val="single"/>
          <w:shd w:fill="auto" w:val="clear"/>
          <w:lang w:eastAsia="en-US"/>
        </w:rPr>
        <w:t>.</w:t>
      </w:r>
    </w:p>
    <w:p>
      <w:pPr>
        <w:pStyle w:val="Normal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Преддоговорные переговоры</w:t>
      </w:r>
      <w:r>
        <w:rPr>
          <w:rFonts w:ascii="Tinos" w:hAnsi="Tinos"/>
          <w:bCs/>
          <w:sz w:val="24"/>
          <w:szCs w:val="24"/>
        </w:rPr>
        <w:t xml:space="preserve"> проводятся в форме аудио связи </w:t>
      </w:r>
      <w:r>
        <w:rPr>
          <w:rFonts w:ascii="Tinos" w:hAnsi="Tinos"/>
          <w:bCs/>
          <w:color w:val="000000"/>
          <w:sz w:val="24"/>
          <w:szCs w:val="24"/>
        </w:rPr>
        <w:t xml:space="preserve">в </w:t>
      </w:r>
      <w:r>
        <w:rPr>
          <w:rFonts w:ascii="Tinos" w:hAnsi="Tinos"/>
          <w:bCs/>
          <w:color w:val="000000"/>
          <w:sz w:val="24"/>
          <w:szCs w:val="24"/>
        </w:rPr>
        <w:t>08</w:t>
      </w:r>
      <w:r>
        <w:rPr>
          <w:rFonts w:ascii="Tinos" w:hAnsi="Tinos"/>
          <w:bCs/>
          <w:color w:val="000000"/>
          <w:sz w:val="24"/>
          <w:szCs w:val="24"/>
        </w:rPr>
        <w:t>:30 (время московское)</w:t>
        <w:br/>
        <w:t xml:space="preserve"> «</w:t>
      </w:r>
      <w:r>
        <w:rPr>
          <w:rFonts w:ascii="Tinos" w:hAnsi="Tinos"/>
          <w:bCs/>
          <w:color w:val="000000"/>
          <w:sz w:val="24"/>
          <w:szCs w:val="24"/>
        </w:rPr>
        <w:t>22</w:t>
      </w:r>
      <w:r>
        <w:rPr>
          <w:rFonts w:ascii="Tinos" w:hAnsi="Tinos"/>
          <w:bCs/>
          <w:color w:val="000000"/>
          <w:sz w:val="24"/>
          <w:szCs w:val="24"/>
        </w:rPr>
        <w:t>»</w:t>
      </w:r>
      <w:r>
        <w:rPr>
          <w:rFonts w:ascii="Tinos" w:hAnsi="Tinos"/>
          <w:bCs/>
          <w:color w:val="FF0000"/>
          <w:sz w:val="24"/>
          <w:szCs w:val="24"/>
        </w:rPr>
        <w:t xml:space="preserve"> </w:t>
      </w:r>
      <w:r>
        <w:rPr>
          <w:rFonts w:ascii="Tinos" w:hAnsi="Tinos"/>
          <w:bCs/>
          <w:color w:val="000000"/>
          <w:sz w:val="24"/>
          <w:szCs w:val="24"/>
        </w:rPr>
        <w:t>января</w:t>
      </w:r>
      <w:r>
        <w:rPr>
          <w:rFonts w:ascii="Tinos" w:hAnsi="Tinos"/>
          <w:bCs/>
          <w:sz w:val="24"/>
          <w:szCs w:val="24"/>
        </w:rPr>
        <w:t xml:space="preserve"> 2026 года, по адресу: 171841, Тверская область, г. Удомля, ул. Тверская, д.7</w:t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b/>
          <w:bCs/>
          <w:color w:val="000000"/>
          <w:sz w:val="24"/>
          <w:szCs w:val="24"/>
          <w:lang w:eastAsia="ar-SA"/>
        </w:rPr>
      </w:pPr>
      <w:r>
        <w:rPr>
          <w:rFonts w:ascii="Tinos" w:hAnsi="Tinos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numPr>
          <w:ilvl w:val="0"/>
          <w:numId w:val="0"/>
        </w:numPr>
        <w:ind w:hanging="0" w:left="0"/>
        <w:outlineLvl w:val="0"/>
        <w:rPr>
          <w:rFonts w:ascii="Tinos" w:hAnsi="Tinos"/>
          <w:b/>
          <w:bCs/>
          <w:color w:val="000000"/>
          <w:sz w:val="24"/>
          <w:szCs w:val="24"/>
          <w:lang w:eastAsia="ar-SA"/>
        </w:rPr>
      </w:pPr>
      <w:r>
        <w:rPr>
          <w:rFonts w:ascii="Tinos" w:hAnsi="Tinos"/>
          <w:b/>
          <w:bCs/>
          <w:color w:val="000000"/>
          <w:sz w:val="24"/>
          <w:szCs w:val="24"/>
          <w:lang w:eastAsia="ar-SA"/>
        </w:rPr>
        <w:t xml:space="preserve">В преддоговорных переговорах принимают участие: </w:t>
      </w:r>
    </w:p>
    <w:tbl>
      <w:tblPr>
        <w:tblW w:w="5000" w:type="pct"/>
        <w:jc w:val="left"/>
        <w:tblInd w:w="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4a0" w:noHBand="0" w:noVBand="1" w:firstColumn="1" w:lastRow="0" w:lastColumn="0" w:firstRow="1"/>
      </w:tblPr>
      <w:tblGrid>
        <w:gridCol w:w="4847"/>
        <w:gridCol w:w="5187"/>
      </w:tblGrid>
      <w:tr>
        <w:trPr/>
        <w:tc>
          <w:tcPr>
            <w:tcW w:w="4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5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Должность</w:t>
            </w:r>
          </w:p>
        </w:tc>
      </w:tr>
      <w:tr>
        <w:trPr/>
        <w:tc>
          <w:tcPr>
            <w:tcW w:w="4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Седов Константин Анатольевич</w:t>
            </w:r>
          </w:p>
        </w:tc>
        <w:tc>
          <w:tcPr>
            <w:tcW w:w="5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ООО «Калининская АЭС-Сервис»</w:t>
            </w:r>
          </w:p>
        </w:tc>
      </w:tr>
      <w:tr>
        <w:trPr/>
        <w:tc>
          <w:tcPr>
            <w:tcW w:w="4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Архипов Юрий Геннадьевич</w:t>
            </w:r>
          </w:p>
        </w:tc>
        <w:tc>
          <w:tcPr>
            <w:tcW w:w="5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sz w:val="24"/>
                <w:szCs w:val="24"/>
                <w:lang w:eastAsia="en-US"/>
              </w:rPr>
              <w:t>Индивидуальный предприниматель</w:t>
            </w:r>
          </w:p>
        </w:tc>
      </w:tr>
    </w:tbl>
    <w:p>
      <w:pPr>
        <w:pStyle w:val="Normal"/>
        <w:widowControl w:val="false"/>
        <w:ind w:firstLine="708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  <w:t>Преддоговорные переговоры проводятся в соответствии с част</w:t>
      </w:r>
      <w:r>
        <w:rPr>
          <w:rFonts w:ascii="Tinos" w:hAnsi="Tinos"/>
          <w:sz w:val="24"/>
          <w:szCs w:val="24"/>
        </w:rPr>
        <w:t>ью</w:t>
      </w:r>
      <w:r>
        <w:rPr>
          <w:rFonts w:ascii="Tinos" w:hAnsi="Tinos"/>
          <w:sz w:val="24"/>
          <w:szCs w:val="24"/>
        </w:rPr>
        <w:t xml:space="preserve"> 2 статьи 9.3 ЕОСЗ в редакции</w:t>
      </w:r>
      <w:r>
        <w:rPr>
          <w:rFonts w:ascii="Tinos" w:hAnsi="Tinos"/>
          <w:bCs/>
          <w:sz w:val="24"/>
          <w:szCs w:val="24"/>
        </w:rPr>
        <w:t xml:space="preserve">, указанной в Томе 1 </w:t>
      </w:r>
      <w:r>
        <w:rPr>
          <w:rFonts w:ascii="Tinos" w:hAnsi="Tinos"/>
          <w:sz w:val="24"/>
          <w:szCs w:val="24"/>
        </w:rPr>
        <w:t>закупочной документации.</w:t>
      </w:r>
    </w:p>
    <w:p>
      <w:pPr>
        <w:pStyle w:val="Normal"/>
        <w:rPr>
          <w:rFonts w:ascii="Tinos" w:hAnsi="Tinos"/>
          <w:sz w:val="24"/>
          <w:szCs w:val="24"/>
        </w:rPr>
      </w:pPr>
      <w:r>
        <w:rPr>
          <w:rFonts w:ascii="Tinos" w:hAnsi="Tinos"/>
          <w:sz w:val="24"/>
          <w:szCs w:val="24"/>
        </w:rPr>
      </w:r>
    </w:p>
    <w:p>
      <w:pPr>
        <w:pStyle w:val="Normal"/>
        <w:rPr>
          <w:rFonts w:ascii="Tinos" w:hAnsi="Tinos"/>
          <w:sz w:val="24"/>
          <w:szCs w:val="24"/>
        </w:rPr>
      </w:pPr>
      <w:r>
        <w:rPr>
          <w:rFonts w:ascii="Tinos" w:hAnsi="Tinos"/>
          <w:bCs/>
          <w:sz w:val="24"/>
          <w:szCs w:val="24"/>
        </w:rPr>
        <w:t>По результатам преддоговорных переговоров достигнуты следующие договоренности:</w:t>
      </w:r>
      <w:r>
        <w:rPr>
          <w:rFonts w:ascii="Tinos" w:hAnsi="Tinos"/>
          <w:bCs/>
          <w:sz w:val="24"/>
          <w:szCs w:val="24"/>
          <w:u w:val="single"/>
        </w:rPr>
        <w:t xml:space="preserve"> </w:t>
      </w:r>
    </w:p>
    <w:p>
      <w:pPr>
        <w:pStyle w:val="Normal"/>
        <w:widowControl w:val="false"/>
        <w:rPr>
          <w:rFonts w:ascii="Tinos" w:hAnsi="Tinos"/>
          <w:b/>
          <w:bCs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</w:r>
    </w:p>
    <w:p>
      <w:pPr>
        <w:pStyle w:val="Normal"/>
        <w:widowControl w:val="false"/>
        <w:rPr>
          <w:rFonts w:ascii="Tinos" w:hAnsi="Tinos"/>
          <w:sz w:val="24"/>
          <w:szCs w:val="24"/>
        </w:rPr>
      </w:pPr>
      <w:r>
        <w:rPr>
          <w:rFonts w:ascii="Tinos" w:hAnsi="Tinos"/>
          <w:b/>
          <w:bCs/>
          <w:sz w:val="24"/>
          <w:szCs w:val="24"/>
        </w:rPr>
        <w:t>Условия договора остаются без изменений.</w:t>
      </w:r>
    </w:p>
    <w:tbl>
      <w:tblPr>
        <w:tblW w:w="5000" w:type="pct"/>
        <w:jc w:val="left"/>
        <w:tblInd w:w="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4a0" w:noHBand="0" w:noVBand="1" w:firstColumn="1" w:lastRow="0" w:lastColumn="0" w:firstRow="1"/>
      </w:tblPr>
      <w:tblGrid>
        <w:gridCol w:w="4110"/>
        <w:gridCol w:w="4101"/>
        <w:gridCol w:w="1824"/>
      </w:tblGrid>
      <w:tr>
        <w:trPr/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ФИО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>
        <w:trPr/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Седов Константин Анатольевич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Генеральный директор</w:t>
            </w:r>
          </w:p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ООО «Калининская АЭС-Сервис»</w:t>
            </w:r>
          </w:p>
        </w:tc>
        <w:tc>
          <w:tcPr>
            <w:tcW w:w="1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 w:eastAsia="Calibri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 w:ascii="Tinos" w:hAnsi="Tinos"/>
                <w:b/>
                <w:bCs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bCs/>
                <w:sz w:val="24"/>
                <w:szCs w:val="24"/>
                <w:lang w:eastAsia="en-US"/>
              </w:rPr>
              <w:t>Архипов Юрий Геннадьевич</w:t>
            </w:r>
          </w:p>
        </w:tc>
        <w:tc>
          <w:tcPr>
            <w:tcW w:w="4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/>
                <w:sz w:val="24"/>
                <w:szCs w:val="24"/>
              </w:rPr>
            </w:pPr>
            <w:r>
              <w:rPr>
                <w:rFonts w:eastAsia="Calibri" w:ascii="Tinos" w:hAnsi="Tinos" w:eastAsiaTheme="minorHAnsi"/>
                <w:b/>
                <w:sz w:val="24"/>
                <w:szCs w:val="24"/>
                <w:lang w:eastAsia="en-US"/>
              </w:rPr>
              <w:t>Индивидуальный предприниматель</w:t>
            </w:r>
          </w:p>
        </w:tc>
        <w:tc>
          <w:tcPr>
            <w:tcW w:w="1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keepLines w:val="false"/>
              <w:jc w:val="center"/>
              <w:rPr>
                <w:rFonts w:ascii="Tinos" w:hAnsi="Tinos" w:eastAsia="Calibri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 w:ascii="Tinos" w:hAnsi="Tinos"/>
                <w:b/>
                <w:bCs/>
                <w:sz w:val="24"/>
                <w:szCs w:val="24"/>
                <w:lang w:eastAsia="en-US"/>
              </w:rPr>
            </w:r>
          </w:p>
          <w:p>
            <w:pPr>
              <w:pStyle w:val="Normal"/>
              <w:keepLines w:val="false"/>
              <w:jc w:val="center"/>
              <w:rPr>
                <w:rFonts w:ascii="Tinos" w:hAnsi="Tinos" w:eastAsia="Calibri" w:eastAsiaTheme="minorHAns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 w:eastAsiaTheme="minorHAnsi" w:ascii="Tinos" w:hAnsi="Tinos"/>
                <w:b/>
                <w:bCs/>
                <w:sz w:val="24"/>
                <w:szCs w:val="24"/>
                <w:lang w:eastAsia="en-US"/>
              </w:rPr>
            </w:r>
          </w:p>
        </w:tc>
      </w:tr>
    </w:tbl>
    <w:p>
      <w:pPr>
        <w:pStyle w:val="NoSpacing"/>
        <w:jc w:val="both"/>
        <w:rPr>
          <w:rFonts w:ascii="Tinos" w:hAnsi="Tinos" w:eastAsia="Times New Roman" w:cs="Times New Roman"/>
          <w:sz w:val="24"/>
          <w:szCs w:val="24"/>
        </w:rPr>
      </w:pPr>
      <w:r>
        <w:rPr>
          <w:rFonts w:eastAsia="Times New Roman" w:cs="Times New Roman" w:ascii="Tinos" w:hAnsi="Tinos"/>
          <w:sz w:val="24"/>
          <w:szCs w:val="24"/>
        </w:rPr>
      </w:r>
    </w:p>
    <w:sectPr>
      <w:footerReference w:type="even" r:id="rId6"/>
      <w:footerReference w:type="default" r:id="rId7"/>
      <w:footerReference w:type="first" r:id="rId8"/>
      <w:type w:val="nextPage"/>
      <w:pgSz w:w="11906" w:h="16838"/>
      <w:pgMar w:left="1134" w:right="737" w:gutter="0" w:header="0" w:top="1005" w:footer="8" w:bottom="113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swiss"/>
    <w:pitch w:val="default"/>
  </w:font>
  <w:font w:name="Tahoma">
    <w:charset w:val="01"/>
    <w:family w:val="swiss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39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c52224"/>
    <w:pPr>
      <w:keepNext w:val="true"/>
      <w:spacing w:lineRule="auto" w:line="259" w:before="240" w:after="0"/>
      <w:jc w:val="left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themeColor="followedHyperlink" w:val="800080"/>
      <w:u w:val="single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18" w:customStyle="1">
    <w:name w:val="Тема примечания Знак"/>
    <w:basedOn w:val="Style13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19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1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character" w:styleId="Style22" w:customStyle="1">
    <w:name w:val="Обычный (веб) Знак"/>
    <w:link w:val="NormalWeb"/>
    <w:uiPriority w:val="39"/>
    <w:qFormat/>
    <w:locked/>
    <w:rsid w:val="004f012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PlaceholderText">
    <w:name w:val="Placeholder Text"/>
    <w:basedOn w:val="DefaultParagraphFont"/>
    <w:uiPriority w:val="99"/>
    <w:semiHidden/>
    <w:qFormat/>
    <w:rsid w:val="00c52224"/>
    <w:rPr>
      <w:color w:val="808080"/>
    </w:rPr>
  </w:style>
  <w:style w:type="character" w:styleId="1" w:customStyle="1">
    <w:name w:val="Заголовок 1 Знак"/>
    <w:basedOn w:val="DefaultParagraphFont"/>
    <w:uiPriority w:val="9"/>
    <w:qFormat/>
    <w:rsid w:val="00c52224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  <w:lang w:eastAsia="ru-RU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link w:val="Style22"/>
    <w:uiPriority w:val="3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CommentText">
    <w:name w:val="annotation text"/>
    <w:basedOn w:val="Normal"/>
    <w:link w:val="Style13"/>
    <w:uiPriority w:val="99"/>
    <w:semiHidden/>
    <w:unhideWhenUsed/>
    <w:pPr/>
    <w:rPr>
      <w:sz w:val="20"/>
      <w:szCs w:val="20"/>
    </w:rPr>
  </w:style>
  <w:style w:type="paragraph" w:styleId="Style25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link w:val="Style20"/>
    <w:uiPriority w:val="34"/>
    <w:qFormat/>
    <w:pPr>
      <w:keepLines w:val="false"/>
      <w:ind w:left="720"/>
      <w:jc w:val="left"/>
    </w:pPr>
    <w:rPr>
      <w:rFonts w:ascii="Calibri" w:hAnsi="Calibri" w:eastAsia="Calibri"/>
      <w:sz w:val="22"/>
      <w:szCs w:val="22"/>
    </w:rPr>
  </w:style>
  <w:style w:type="paragraph" w:styleId="msonormal" w:customStyle="1">
    <w:name w:val="msonormal"/>
    <w:basedOn w:val="Normal"/>
    <w:uiPriority w:val="99"/>
    <w:semiHidden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6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Default" w:customStyle="1">
    <w:name w:val="Default"/>
    <w:qFormat/>
    <w:rsid w:val="003676c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0"/>
      <w:kern w:val="0"/>
      <w:sz w:val="24"/>
      <w:szCs w:val="24"/>
      <w:lang w:val="ru-RU" w:eastAsia="ru-RU" w:bidi="ar-SA"/>
    </w:rPr>
  </w:style>
  <w:style w:type="paragraph" w:styleId="user3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ы (user)"/>
    <w:basedOn w:val="user3"/>
    <w:qFormat/>
    <w:pPr>
      <w:suppressLineNumbers/>
      <w:jc w:val="center"/>
    </w:pPr>
    <w:rPr>
      <w:b/>
      <w:bCs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user5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www.etp-ets.ru/" TargetMode="External"/><Relationship Id="rId5" Type="http://schemas.openxmlformats.org/officeDocument/2006/relationships/hyperlink" Target="http://www.etp-ets.ru/" TargetMode="Externa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491-6D32-4445-9FD2-68547824F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Application>LibreOffice/25.2.6.2$Linux_X86_64 LibreOffice_project/520$Build-2</Application>
  <AppVersion>15.0000</AppVersion>
  <Pages>3</Pages>
  <Words>848</Words>
  <Characters>7205</Characters>
  <CharactersWithSpaces>7745</CharactersWithSpaces>
  <Paragraphs>313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2025-01-27T08:10:00Z</dcterms:created>
  <dc:creator>ss</dc:creator>
  <dc:description/>
  <dc:language>ru-RU</dc:language>
  <cp:lastModifiedBy/>
  <cp:lastPrinted>2025-10-20T10:30:23Z</cp:lastPrinted>
  <dcterms:modified xsi:type="dcterms:W3CDTF">2026-01-22T08:59:46Z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