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Lines/>
        <w:tabs>
          <w:tab w:val="clear" w:pos="708"/>
          <w:tab w:val="center" w:pos="5017" w:leader="none"/>
        </w:tabs>
        <w:spacing w:lineRule="auto" w:line="240" w:before="0" w:after="0"/>
        <w:jc w:val="center"/>
        <w:rPr>
          <w:sz w:val="24"/>
          <w:szCs w:val="24"/>
        </w:rPr>
      </w:pPr>
      <w:r>
        <w:rPr>
          <w:rFonts w:eastAsia="Times New Roman" w:cs="Times New Roman" w:ascii="Times New Roman" w:hAnsi="Times New Roman"/>
          <w:b/>
          <w:sz w:val="24"/>
          <w:szCs w:val="24"/>
        </w:rPr>
        <w:t xml:space="preserve">ПРОТОКОЛ </w:t>
      </w:r>
      <w:r>
        <w:rPr>
          <w:rFonts w:eastAsia="Segoe UI Symbol" w:cs="Times New Roman" w:ascii="Times New Roman" w:hAnsi="Times New Roman"/>
          <w:b/>
          <w:sz w:val="24"/>
          <w:szCs w:val="24"/>
        </w:rPr>
        <w:t>№</w:t>
      </w:r>
      <w:r>
        <w:rPr>
          <w:rFonts w:eastAsia="Times New Roman" w:cs="Times New Roman" w:ascii="Times New Roman" w:hAnsi="Times New Roman"/>
          <w:b/>
          <w:sz w:val="24"/>
          <w:szCs w:val="24"/>
        </w:rPr>
        <w:t xml:space="preserve"> 32615923234</w:t>
      </w:r>
    </w:p>
    <w:p>
      <w:pPr>
        <w:pStyle w:val="ConsPlusNormal"/>
        <w:jc w:val="center"/>
        <w:rPr>
          <w:sz w:val="24"/>
          <w:szCs w:val="24"/>
        </w:rPr>
      </w:pPr>
      <w:r>
        <w:rPr>
          <w:b/>
          <w:bCs/>
          <w:sz w:val="24"/>
          <w:szCs w:val="24"/>
        </w:rPr>
        <w:t xml:space="preserve">заседания закупочной комиссии по подведению итогов закупки на право </w:t>
      </w:r>
      <w:r>
        <w:rPr>
          <w:rFonts w:cs="Times New Roman"/>
          <w:b/>
          <w:bCs/>
          <w:sz w:val="24"/>
          <w:szCs w:val="24"/>
        </w:rPr>
        <w:t>заключения договора на</w:t>
      </w:r>
      <w:r>
        <w:rPr>
          <w:rFonts w:eastAsia="Times New Roman" w:cs="Times New Roman"/>
          <w:b/>
          <w:sz w:val="24"/>
          <w:szCs w:val="24"/>
        </w:rPr>
        <w:t xml:space="preserve"> поставку телефонных кабелей и проводов связи</w:t>
      </w:r>
    </w:p>
    <w:tbl>
      <w:tblPr>
        <w:tblW w:w="9247"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2441"/>
        <w:gridCol w:w="6805"/>
      </w:tblGrid>
      <w:tr>
        <w:trPr>
          <w:trHeight w:val="1" w:hRule="atLeast"/>
        </w:trPr>
        <w:tc>
          <w:tcPr>
            <w:tcW w:w="2441" w:type="dxa"/>
            <w:tcBorders>
              <w:top w:val="single" w:sz="6" w:space="0" w:color="000000"/>
              <w:left w:val="single" w:sz="6" w:space="0" w:color="000000"/>
              <w:bottom w:val="single" w:sz="6" w:space="0" w:color="000000"/>
              <w:right w:val="single" w:sz="6" w:space="0" w:color="000000"/>
            </w:tcBorders>
            <w:shd w:color="000000" w:fill="FFFFFF" w:val="clear"/>
          </w:tcPr>
          <w:p>
            <w:pPr>
              <w:pStyle w:val="Normal"/>
              <w:spacing w:lineRule="auto" w:line="240" w:before="0" w:after="0"/>
              <w:rPr>
                <w:sz w:val="24"/>
                <w:szCs w:val="24"/>
              </w:rPr>
            </w:pPr>
            <w:r>
              <w:rPr>
                <w:rFonts w:eastAsia="Times New Roman" w:cs="Times New Roman" w:ascii="Times New Roman" w:hAnsi="Times New Roman"/>
                <w:sz w:val="24"/>
                <w:szCs w:val="24"/>
              </w:rPr>
              <w:t>г. Железногорск</w:t>
            </w:r>
          </w:p>
        </w:tc>
        <w:tc>
          <w:tcPr>
            <w:tcW w:w="6805" w:type="dxa"/>
            <w:tcBorders>
              <w:top w:val="single" w:sz="6" w:space="0" w:color="000000"/>
              <w:left w:val="single" w:sz="6" w:space="0" w:color="000000"/>
              <w:bottom w:val="single" w:sz="6" w:space="0" w:color="000000"/>
              <w:right w:val="single" w:sz="6" w:space="0" w:color="000000"/>
            </w:tcBorders>
            <w:shd w:color="000000" w:fill="FFFFFF" w:val="clear"/>
          </w:tcPr>
          <w:p>
            <w:pPr>
              <w:pStyle w:val="Normal"/>
              <w:tabs>
                <w:tab w:val="clear" w:pos="708"/>
                <w:tab w:val="left" w:pos="252" w:leader="none"/>
              </w:tabs>
              <w:spacing w:lineRule="auto" w:line="240" w:before="0" w:after="0"/>
              <w:jc w:val="right"/>
              <w:rPr>
                <w:sz w:val="24"/>
                <w:szCs w:val="24"/>
              </w:rPr>
            </w:pPr>
            <w:r>
              <w:rPr>
                <w:rFonts w:eastAsia="Times New Roman" w:cs="Times New Roman" w:ascii="Times New Roman" w:hAnsi="Times New Roman"/>
                <w:sz w:val="24"/>
                <w:szCs w:val="24"/>
              </w:rPr>
              <w:t>дата подписания протокола «</w:t>
            </w:r>
            <w:r>
              <w:rPr>
                <w:rFonts w:eastAsia="Times New Roman" w:cs="Times New Roman" w:ascii="Times New Roman" w:hAnsi="Times New Roman"/>
                <w:sz w:val="24"/>
                <w:szCs w:val="24"/>
              </w:rPr>
              <w:t>29</w:t>
            </w:r>
            <w:r>
              <w:rPr>
                <w:rFonts w:eastAsia="Times New Roman" w:cs="Times New Roman" w:ascii="Times New Roman" w:hAnsi="Times New Roman"/>
                <w:sz w:val="24"/>
                <w:szCs w:val="24"/>
              </w:rPr>
              <w:t>» апреля 2026г.</w:t>
            </w:r>
          </w:p>
        </w:tc>
      </w:tr>
    </w:tbl>
    <w:p>
      <w:pPr>
        <w:pStyle w:val="Normal"/>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tabs>
          <w:tab w:val="clear" w:pos="708"/>
          <w:tab w:val="left" w:pos="252" w:leader="none"/>
        </w:tabs>
        <w:spacing w:lineRule="auto" w:line="240" w:before="0" w:after="0"/>
        <w:jc w:val="both"/>
        <w:rPr>
          <w:sz w:val="24"/>
          <w:szCs w:val="24"/>
        </w:rPr>
      </w:pPr>
      <w:r>
        <w:rPr>
          <w:rFonts w:eastAsia="Times New Roman" w:cs="Times New Roman" w:ascii="Times New Roman" w:hAnsi="Times New Roman"/>
          <w:b/>
          <w:sz w:val="24"/>
          <w:szCs w:val="24"/>
        </w:rPr>
        <w:t>Информация о закупке:</w:t>
      </w:r>
    </w:p>
    <w:p>
      <w:pPr>
        <w:pStyle w:val="Normal"/>
        <w:tabs>
          <w:tab w:val="clear" w:pos="708"/>
          <w:tab w:val="left" w:pos="252" w:leader="none"/>
        </w:tabs>
        <w:spacing w:lineRule="auto" w:line="240" w:before="0" w:after="0"/>
        <w:jc w:val="both"/>
        <w:rPr>
          <w:sz w:val="24"/>
          <w:szCs w:val="24"/>
        </w:rPr>
      </w:pPr>
      <w:r>
        <w:rPr>
          <w:rFonts w:eastAsia="Times New Roman" w:cs="Times New Roman" w:ascii="Times New Roman" w:hAnsi="Times New Roman"/>
          <w:sz w:val="24"/>
          <w:szCs w:val="24"/>
        </w:rPr>
        <w:t>Заказчик: ООО "ТЕЛЕКОМ ГХК"</w:t>
      </w:r>
    </w:p>
    <w:p>
      <w:pPr>
        <w:pStyle w:val="Normal"/>
        <w:tabs>
          <w:tab w:val="clear" w:pos="708"/>
          <w:tab w:val="left" w:pos="252" w:leader="none"/>
        </w:tabs>
        <w:spacing w:lineRule="auto" w:line="240" w:before="0" w:after="0"/>
        <w:jc w:val="both"/>
        <w:rPr>
          <w:sz w:val="24"/>
          <w:szCs w:val="24"/>
        </w:rPr>
      </w:pPr>
      <w:r>
        <w:rPr>
          <w:rFonts w:eastAsia="Times New Roman" w:cs="Times New Roman" w:ascii="Times New Roman" w:hAnsi="Times New Roman"/>
          <w:sz w:val="24"/>
          <w:szCs w:val="24"/>
        </w:rPr>
        <w:t xml:space="preserve">Организатор </w:t>
      </w:r>
      <w:r>
        <w:rPr>
          <w:rFonts w:eastAsia="Times New Roman" w:cs="Times New Roman" w:ascii="Times New Roman" w:hAnsi="Times New Roman"/>
          <w:color w:val="000000"/>
          <w:sz w:val="24"/>
          <w:szCs w:val="24"/>
        </w:rPr>
        <w:t>закупки</w:t>
      </w:r>
      <w:r>
        <w:rPr>
          <w:rFonts w:eastAsia="Times New Roman" w:cs="Times New Roman" w:ascii="Times New Roman" w:hAnsi="Times New Roman"/>
          <w:sz w:val="24"/>
          <w:szCs w:val="24"/>
        </w:rPr>
        <w:t>: ФГУП "ГХК"</w:t>
      </w:r>
    </w:p>
    <w:p>
      <w:pPr>
        <w:pStyle w:val="Normal"/>
        <w:tabs>
          <w:tab w:val="clear" w:pos="708"/>
          <w:tab w:val="left" w:pos="0" w:leader="none"/>
          <w:tab w:val="left" w:pos="1134" w:leader="none"/>
        </w:tabs>
        <w:spacing w:lineRule="auto" w:line="240" w:before="0" w:after="200"/>
        <w:jc w:val="both"/>
        <w:rPr>
          <w:sz w:val="24"/>
          <w:szCs w:val="24"/>
        </w:rPr>
      </w:pPr>
      <w:r>
        <w:rPr>
          <w:rFonts w:eastAsia="Times New Roman" w:cs="Times New Roman" w:ascii="Times New Roman" w:hAnsi="Times New Roman"/>
          <w:color w:val="000000"/>
          <w:sz w:val="24"/>
          <w:szCs w:val="24"/>
        </w:rPr>
        <w:t>Способ закупки</w:t>
      </w:r>
      <w:r>
        <w:rPr>
          <w:rFonts w:eastAsia="Times New Roman" w:cs="Times New Roman" w:ascii="Times New Roman" w:hAnsi="Times New Roman"/>
          <w:sz w:val="24"/>
          <w:szCs w:val="24"/>
        </w:rPr>
        <w:t xml:space="preserve">: </w:t>
      </w:r>
      <w:r>
        <w:rPr>
          <w:rFonts w:eastAsia="Times New Roman" w:cs="Times New Roman" w:ascii="Times New Roman" w:hAnsi="Times New Roman"/>
          <w:color w:val="000000"/>
          <w:sz w:val="24"/>
          <w:szCs w:val="24"/>
        </w:rPr>
        <w:t>Открытый запрос котировок в электронной форме</w:t>
      </w:r>
      <w:r>
        <w:rPr>
          <w:rFonts w:eastAsia="Times New Roman" w:cs="Times New Roman" w:ascii="Times New Roman" w:hAnsi="Times New Roman"/>
          <w:sz w:val="24"/>
          <w:szCs w:val="24"/>
        </w:rPr>
        <w:t>, участниками которого могут быть только субъекты малого и среднего предпринимательства.</w:t>
      </w:r>
    </w:p>
    <w:p>
      <w:pPr>
        <w:pStyle w:val="Normal"/>
        <w:tabs>
          <w:tab w:val="clear" w:pos="708"/>
          <w:tab w:val="left" w:pos="0" w:leader="none"/>
          <w:tab w:val="left" w:pos="1134" w:leader="none"/>
        </w:tabs>
        <w:spacing w:lineRule="auto" w:line="240" w:before="0" w:after="200"/>
        <w:ind w:right="153"/>
        <w:jc w:val="both"/>
        <w:rPr>
          <w:sz w:val="24"/>
          <w:szCs w:val="24"/>
        </w:rPr>
      </w:pPr>
      <w:r>
        <w:rPr>
          <w:rFonts w:eastAsia="Times New Roman" w:cs="Times New Roman" w:ascii="Times New Roman" w:hAnsi="Times New Roman"/>
          <w:sz w:val="24"/>
          <w:szCs w:val="24"/>
        </w:rPr>
        <w:t xml:space="preserve">Предмет </w:t>
      </w:r>
      <w:r>
        <w:rPr>
          <w:rFonts w:eastAsia="Times New Roman" w:cs="Times New Roman" w:ascii="Times New Roman" w:hAnsi="Times New Roman"/>
          <w:color w:val="000000"/>
          <w:sz w:val="24"/>
          <w:szCs w:val="24"/>
        </w:rPr>
        <w:t>закупки</w:t>
      </w:r>
      <w:r>
        <w:rPr>
          <w:rFonts w:eastAsia="Times New Roman" w:cs="Times New Roman" w:ascii="Times New Roman" w:hAnsi="Times New Roman"/>
          <w:sz w:val="24"/>
          <w:szCs w:val="24"/>
        </w:rPr>
        <w:t>: право заключения договора на поставка телефонных кабелей и проводов связи.</w:t>
      </w:r>
    </w:p>
    <w:p>
      <w:pPr>
        <w:pStyle w:val="Normal"/>
        <w:tabs>
          <w:tab w:val="clear" w:pos="708"/>
          <w:tab w:val="left" w:pos="252" w:leader="none"/>
        </w:tabs>
        <w:spacing w:lineRule="auto" w:line="240" w:before="0" w:after="0"/>
        <w:jc w:val="both"/>
        <w:rPr>
          <w:sz w:val="24"/>
          <w:szCs w:val="24"/>
        </w:rPr>
      </w:pPr>
      <w:r>
        <w:rPr>
          <w:rFonts w:eastAsia="Times New Roman" w:cs="Times New Roman" w:ascii="Times New Roman" w:hAnsi="Times New Roman"/>
          <w:sz w:val="24"/>
          <w:szCs w:val="24"/>
        </w:rPr>
        <w:t>Состав и объем товара: все необходимые сведения приведены в Томе 2 закупочной документации.</w:t>
      </w:r>
    </w:p>
    <w:p>
      <w:pPr>
        <w:pStyle w:val="Normal"/>
        <w:tabs>
          <w:tab w:val="clear" w:pos="708"/>
          <w:tab w:val="left" w:pos="1134" w:leader="none"/>
        </w:tabs>
        <w:spacing w:lineRule="auto" w:line="240" w:before="0" w:after="200"/>
        <w:jc w:val="both"/>
        <w:rPr>
          <w:sz w:val="24"/>
          <w:szCs w:val="24"/>
        </w:rPr>
      </w:pPr>
      <w:r>
        <w:rPr>
          <w:rFonts w:eastAsia="Times New Roman" w:cs="Times New Roman" w:ascii="Times New Roman" w:hAnsi="Times New Roman"/>
          <w:sz w:val="24"/>
          <w:szCs w:val="24"/>
        </w:rPr>
        <w:t>Срок поставки товара: В соответствии с проектом договора.</w:t>
      </w:r>
    </w:p>
    <w:p>
      <w:pPr>
        <w:pStyle w:val="Normal"/>
        <w:spacing w:lineRule="auto" w:line="240" w:before="0" w:after="0"/>
        <w:jc w:val="both"/>
        <w:rPr>
          <w:sz w:val="24"/>
          <w:szCs w:val="24"/>
        </w:rPr>
      </w:pPr>
      <w:r>
        <w:rPr>
          <w:rFonts w:eastAsia="Times New Roman" w:cs="Times New Roman" w:ascii="Times New Roman" w:hAnsi="Times New Roman"/>
          <w:sz w:val="24"/>
          <w:szCs w:val="24"/>
        </w:rPr>
        <w:t>Начальная (максимальная) цена договора: 1 364 132 (один миллион триста шестьдесят четыре тысячи сто тридцать два) рубля 50 копеек, включая НДС</w:t>
      </w:r>
    </w:p>
    <w:p>
      <w:pPr>
        <w:pStyle w:val="Normal"/>
        <w:spacing w:lineRule="auto" w:line="240" w:before="113" w:after="0"/>
        <w:jc w:val="both"/>
        <w:rPr>
          <w:sz w:val="24"/>
          <w:szCs w:val="24"/>
        </w:rPr>
      </w:pPr>
      <w:r>
        <w:rPr>
          <w:rFonts w:eastAsia="Times New Roman" w:cs="Times New Roman" w:ascii="Times New Roman" w:hAnsi="Times New Roman"/>
          <w:sz w:val="24"/>
          <w:szCs w:val="24"/>
        </w:rPr>
        <w:t>Начальная (максимальная) цена единицы продукции:</w:t>
      </w:r>
    </w:p>
    <w:tbl>
      <w:tblPr>
        <w:tblW w:w="9235"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736"/>
        <w:gridCol w:w="5408"/>
        <w:gridCol w:w="7"/>
        <w:gridCol w:w="3084"/>
      </w:tblGrid>
      <w:tr>
        <w:trPr>
          <w:trHeight w:val="1" w:hRule="atLeast"/>
        </w:trPr>
        <w:tc>
          <w:tcPr>
            <w:tcW w:w="73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Calibri" w:ascii="Times New Roman" w:hAnsi="Times New Roman"/>
                <w:b/>
                <w:bCs/>
                <w:sz w:val="24"/>
                <w:szCs w:val="24"/>
              </w:rPr>
              <w:t xml:space="preserve">№ </w:t>
            </w:r>
            <w:r>
              <w:rPr>
                <w:rFonts w:eastAsia="Calibri" w:ascii="Times New Roman" w:hAnsi="Times New Roman"/>
                <w:b/>
                <w:bCs/>
                <w:sz w:val="24"/>
                <w:szCs w:val="24"/>
              </w:rPr>
              <w:t>п/п</w:t>
            </w:r>
          </w:p>
        </w:tc>
        <w:tc>
          <w:tcPr>
            <w:tcW w:w="540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sz w:val="24"/>
                <w:szCs w:val="24"/>
              </w:rPr>
              <w:t>Наименование продукции</w:t>
            </w:r>
          </w:p>
        </w:tc>
        <w:tc>
          <w:tcPr>
            <w:tcW w:w="3091"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sz w:val="24"/>
                <w:szCs w:val="24"/>
              </w:rPr>
              <w:t>Начальная (максимальная) цена единицы продукции, руб., с учетом НДС</w:t>
            </w:r>
          </w:p>
        </w:tc>
      </w:tr>
      <w:tr>
        <w:trPr>
          <w:trHeight w:val="1" w:hRule="atLeast"/>
        </w:trPr>
        <w:tc>
          <w:tcPr>
            <w:tcW w:w="73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w:t>
            </w:r>
          </w:p>
        </w:tc>
        <w:tc>
          <w:tcPr>
            <w:tcW w:w="5415"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left"/>
              <w:rPr>
                <w:sz w:val="24"/>
                <w:szCs w:val="24"/>
              </w:rPr>
            </w:pPr>
            <w:r>
              <w:rPr>
                <w:rFonts w:eastAsia="Times New Roman" w:cs="Times New Roman" w:ascii="Times New Roman" w:hAnsi="Times New Roman"/>
                <w:sz w:val="24"/>
                <w:szCs w:val="24"/>
              </w:rPr>
              <w:t>Кабель ТППэпЗ 100х2х0.4</w:t>
            </w:r>
          </w:p>
        </w:tc>
        <w:tc>
          <w:tcPr>
            <w:tcW w:w="308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624,14</w:t>
            </w:r>
          </w:p>
        </w:tc>
      </w:tr>
      <w:tr>
        <w:trPr>
          <w:trHeight w:val="1" w:hRule="atLeast"/>
        </w:trPr>
        <w:tc>
          <w:tcPr>
            <w:tcW w:w="73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w:t>
            </w:r>
          </w:p>
        </w:tc>
        <w:tc>
          <w:tcPr>
            <w:tcW w:w="5415"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left"/>
              <w:rPr>
                <w:sz w:val="24"/>
                <w:szCs w:val="24"/>
              </w:rPr>
            </w:pPr>
            <w:r>
              <w:rPr>
                <w:rFonts w:eastAsia="Times New Roman" w:cs="Times New Roman" w:ascii="Times New Roman" w:hAnsi="Times New Roman"/>
                <w:sz w:val="24"/>
                <w:szCs w:val="24"/>
              </w:rPr>
              <w:t>Кабель ТППэпЗ 50х2х0.4</w:t>
            </w:r>
          </w:p>
        </w:tc>
        <w:tc>
          <w:tcPr>
            <w:tcW w:w="308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340,50</w:t>
            </w:r>
          </w:p>
        </w:tc>
      </w:tr>
      <w:tr>
        <w:trPr>
          <w:trHeight w:val="1" w:hRule="atLeast"/>
        </w:trPr>
        <w:tc>
          <w:tcPr>
            <w:tcW w:w="73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3</w:t>
            </w:r>
          </w:p>
        </w:tc>
        <w:tc>
          <w:tcPr>
            <w:tcW w:w="5415"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left"/>
              <w:rPr>
                <w:sz w:val="24"/>
                <w:szCs w:val="24"/>
              </w:rPr>
            </w:pPr>
            <w:r>
              <w:rPr>
                <w:rFonts w:eastAsia="Times New Roman" w:cs="Times New Roman" w:ascii="Times New Roman" w:hAnsi="Times New Roman"/>
                <w:sz w:val="24"/>
                <w:szCs w:val="24"/>
              </w:rPr>
              <w:t>Кабель UTP 4 пары кат.5e бухта 305м</w:t>
            </w:r>
          </w:p>
        </w:tc>
        <w:tc>
          <w:tcPr>
            <w:tcW w:w="308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12 779,88</w:t>
            </w:r>
          </w:p>
        </w:tc>
      </w:tr>
    </w:tbl>
    <w:p>
      <w:pPr>
        <w:pStyle w:val="Normal"/>
        <w:tabs>
          <w:tab w:val="clear" w:pos="708"/>
          <w:tab w:val="left" w:pos="709" w:leader="none"/>
        </w:tabs>
        <w:spacing w:lineRule="auto" w:line="240" w:before="0" w:after="0"/>
        <w:jc w:val="both"/>
        <w:rPr>
          <w:sz w:val="24"/>
          <w:szCs w:val="24"/>
        </w:rPr>
      </w:pPr>
      <w:r>
        <w:rPr>
          <w:rFonts w:ascii="Times New Roman" w:hAnsi="Times New Roman"/>
          <w:sz w:val="24"/>
          <w:szCs w:val="24"/>
        </w:rPr>
        <w:t xml:space="preserve">Извещение о проведении закупки (закупочная документация) опубликованы </w:t>
      </w:r>
      <w:r>
        <w:rPr>
          <w:rFonts w:eastAsia="Times New Roman" w:cs="Times New Roman" w:ascii="Times New Roman" w:hAnsi="Times New Roman"/>
          <w:sz w:val="24"/>
          <w:szCs w:val="24"/>
        </w:rPr>
        <w:t xml:space="preserve">«17» апреля 2026, на официальном государственном сайте </w:t>
      </w:r>
      <w:r>
        <w:rPr>
          <w:rFonts w:eastAsia="Times New Roman" w:cs="Times New Roman" w:ascii="Times New Roman" w:hAnsi="Times New Roman"/>
          <w:color w:val="0000FF"/>
          <w:sz w:val="24"/>
          <w:szCs w:val="24"/>
        </w:rPr>
        <w:t>http://www.zakupki.gov.ru/</w:t>
      </w:r>
      <w:r>
        <w:rPr>
          <w:rFonts w:eastAsia="Times New Roman" w:cs="Times New Roman" w:ascii="Times New Roman" w:hAnsi="Times New Roman"/>
          <w:sz w:val="24"/>
          <w:szCs w:val="24"/>
        </w:rPr>
        <w:t xml:space="preserve">, закупка № 32615923234, на официальном сайте по закупкам атомной отрасли </w:t>
      </w:r>
      <w:r>
        <w:rPr>
          <w:rFonts w:eastAsia="Times New Roman" w:cs="Times New Roman" w:ascii="Times New Roman" w:hAnsi="Times New Roman"/>
          <w:color w:val="0000FF"/>
          <w:sz w:val="24"/>
          <w:szCs w:val="24"/>
        </w:rPr>
        <w:t>http://zakupki.rosatom.ru/</w:t>
      </w:r>
      <w:r>
        <w:rPr>
          <w:rFonts w:eastAsia="Times New Roman" w:cs="Times New Roman" w:ascii="Times New Roman" w:hAnsi="Times New Roman"/>
          <w:sz w:val="24"/>
          <w:szCs w:val="24"/>
        </w:rPr>
        <w:t>, закупка № 182304, на ЭТП ЭТС (НЭП), закупка № 32615923234.</w:t>
      </w:r>
    </w:p>
    <w:p>
      <w:pPr>
        <w:pStyle w:val="Normal"/>
        <w:spacing w:lineRule="auto" w:line="240" w:before="0" w:after="57"/>
        <w:jc w:val="both"/>
        <w:rPr>
          <w:sz w:val="24"/>
          <w:szCs w:val="24"/>
        </w:rPr>
      </w:pPr>
      <w:r>
        <w:rPr>
          <w:rFonts w:eastAsia="Times New Roman" w:cs="Times New Roman" w:ascii="Times New Roman" w:hAnsi="Times New Roman"/>
          <w:sz w:val="24"/>
          <w:szCs w:val="24"/>
        </w:rPr>
        <w:t>Заседание закупочной комиссии проводится в очной форме в 10:10 (время московское) «27» апреля 2021 года, по адресу: Россия, 662972, ЗАТО Железногорск, г. Железногорск, Красноярского края, ул. Ленина, 56.</w:t>
      </w:r>
    </w:p>
    <w:p>
      <w:pPr>
        <w:pStyle w:val="Normal"/>
        <w:spacing w:lineRule="auto" w:line="240" w:before="0" w:after="0"/>
        <w:jc w:val="both"/>
        <w:rPr>
          <w:sz w:val="24"/>
          <w:szCs w:val="24"/>
        </w:rPr>
      </w:pPr>
      <w:r>
        <w:rPr>
          <w:rFonts w:eastAsia="Times New Roman" w:cs="Times New Roman" w:ascii="Times New Roman" w:hAnsi="Times New Roman"/>
          <w:sz w:val="24"/>
          <w:szCs w:val="24"/>
        </w:rPr>
        <w:t>В заседании принимают участие: Сведения о составе членов закупочной комиссии приведены в разделе «Закупочная комиссия» настоящего протокола.</w:t>
      </w:r>
    </w:p>
    <w:p>
      <w:pPr>
        <w:pStyle w:val="Normal"/>
        <w:spacing w:lineRule="auto" w:line="240" w:before="57" w:after="0"/>
        <w:jc w:val="both"/>
        <w:rPr>
          <w:sz w:val="24"/>
          <w:szCs w:val="24"/>
        </w:rPr>
      </w:pPr>
      <w:r>
        <w:rPr>
          <w:rFonts w:eastAsia="Times New Roman" w:cs="Times New Roman" w:ascii="Times New Roman" w:hAnsi="Times New Roman"/>
          <w:sz w:val="24"/>
          <w:szCs w:val="24"/>
        </w:rPr>
        <w:t>Заседание проводится в присутствии _</w:t>
      </w:r>
      <w:r>
        <w:rPr>
          <w:rFonts w:eastAsia="Times New Roman" w:cs="Times New Roman" w:ascii="Times New Roman" w:hAnsi="Times New Roman"/>
          <w:sz w:val="24"/>
          <w:szCs w:val="24"/>
        </w:rPr>
        <w:t>9</w:t>
      </w:r>
      <w:r>
        <w:rPr>
          <w:rFonts w:eastAsia="Times New Roman" w:cs="Times New Roman" w:ascii="Times New Roman" w:hAnsi="Times New Roman"/>
          <w:sz w:val="24"/>
          <w:szCs w:val="24"/>
        </w:rPr>
        <w:t xml:space="preserve">_ из 12 членов закупочной комиссии. Кворум имеется. </w:t>
      </w:r>
    </w:p>
    <w:p>
      <w:pPr>
        <w:pStyle w:val="Normal"/>
        <w:spacing w:lineRule="auto" w:line="240" w:before="0" w:after="0"/>
        <w:jc w:val="both"/>
        <w:rPr>
          <w:sz w:val="24"/>
          <w:szCs w:val="24"/>
        </w:rPr>
      </w:pPr>
      <w:r>
        <w:rPr>
          <w:rFonts w:eastAsia="Times New Roman" w:cs="Times New Roman" w:ascii="Times New Roman" w:hAnsi="Times New Roman"/>
          <w:sz w:val="24"/>
          <w:szCs w:val="24"/>
        </w:rPr>
        <w:t>1. Срок окончания подачи заявок на участие в закупке 05:00 (время московское) «23» апреля 2026 года.</w:t>
      </w:r>
    </w:p>
    <w:p>
      <w:pPr>
        <w:pStyle w:val="Normal"/>
        <w:spacing w:lineRule="auto" w:line="240" w:before="57" w:after="0"/>
        <w:jc w:val="both"/>
        <w:rPr>
          <w:sz w:val="24"/>
          <w:szCs w:val="24"/>
        </w:rPr>
      </w:pPr>
      <w:r>
        <w:rPr>
          <w:rFonts w:eastAsia="Times New Roman" w:cs="Times New Roman" w:ascii="Times New Roman" w:hAnsi="Times New Roman"/>
          <w:sz w:val="24"/>
          <w:szCs w:val="24"/>
        </w:rPr>
        <w:t>Количество поданных на ЭТП ЭТС (НЭП) заявок на участие в закупке - 6.</w:t>
      </w:r>
    </w:p>
    <w:p>
      <w:pPr>
        <w:pStyle w:val="Normal"/>
        <w:spacing w:lineRule="auto" w:line="240" w:before="57" w:after="0"/>
        <w:jc w:val="both"/>
        <w:rPr>
          <w:sz w:val="24"/>
          <w:szCs w:val="24"/>
        </w:rPr>
      </w:pPr>
      <w:r>
        <w:rPr>
          <w:rFonts w:eastAsia="Times New Roman" w:cs="Times New Roman" w:ascii="Times New Roman" w:hAnsi="Times New Roman"/>
          <w:sz w:val="24"/>
          <w:szCs w:val="24"/>
        </w:rPr>
        <w:t>Согласно результатам открытия доступа к заявкам на участие в закупке:</w:t>
      </w:r>
    </w:p>
    <w:tbl>
      <w:tblPr>
        <w:tblW w:w="9243"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2154"/>
        <w:gridCol w:w="7088"/>
      </w:tblGrid>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val="false"/>
                <w:bCs w:val="false"/>
                <w:sz w:val="24"/>
                <w:szCs w:val="24"/>
              </w:rPr>
              <w:t xml:space="preserve">Рег. </w:t>
            </w:r>
            <w:r>
              <w:rPr>
                <w:rFonts w:eastAsia="Segoe UI Symbol" w:cs="Times New Roman" w:ascii="Times New Roman" w:hAnsi="Times New Roman"/>
                <w:b w:val="false"/>
                <w:bCs w:val="false"/>
                <w:sz w:val="24"/>
                <w:szCs w:val="24"/>
              </w:rPr>
              <w:t>№</w:t>
            </w:r>
            <w:r>
              <w:rPr>
                <w:rFonts w:eastAsia="Times New Roman" w:cs="Times New Roman" w:ascii="Times New Roman" w:hAnsi="Times New Roman"/>
                <w:b w:val="false"/>
                <w:bCs w:val="false"/>
                <w:sz w:val="24"/>
                <w:szCs w:val="24"/>
              </w:rPr>
              <w:t xml:space="preserve"> заявки на ЭТП</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cs="Times New Roman" w:ascii="Times New Roman" w:hAnsi="Times New Roman"/>
                <w:b w:val="false"/>
                <w:bCs w:val="false"/>
                <w:sz w:val="24"/>
                <w:szCs w:val="24"/>
              </w:rPr>
              <w:t>Дата и время регистрации заявки</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32615923234-1-2</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15:16 (время московское) «22» апреля 2026 года</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32615923234-1-4</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18:07 (время московское) «22» апреля 2026 года</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32615923234-1-1</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12:22 (время московское) «22» апреля 2026 года</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32615923234-1-3</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16:45 (время московское) «22» апреля 2026 года</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32615923234-1-5</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18:32 (время московское) «22» апреля 2026 года</w:t>
            </w:r>
          </w:p>
        </w:tc>
      </w:tr>
      <w:tr>
        <w:trPr>
          <w:trHeight w:val="1" w:hRule="atLeast"/>
        </w:trPr>
        <w:tc>
          <w:tcPr>
            <w:tcW w:w="215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32615923234-1-6</w:t>
            </w:r>
          </w:p>
        </w:tc>
        <w:tc>
          <w:tcPr>
            <w:tcW w:w="708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23:28 (время московское) «22» апреля 2026 года</w:t>
            </w:r>
          </w:p>
        </w:tc>
      </w:tr>
    </w:tbl>
    <w:p>
      <w:pPr>
        <w:pStyle w:val="Normal"/>
        <w:spacing w:lineRule="auto" w:line="240" w:before="113" w:after="0"/>
        <w:ind w:right="556"/>
        <w:jc w:val="both"/>
        <w:rPr>
          <w:sz w:val="24"/>
          <w:szCs w:val="24"/>
        </w:rPr>
      </w:pPr>
      <w:r>
        <w:rPr>
          <w:rFonts w:eastAsia="Times New Roman" w:cs="Times New Roman" w:ascii="Times New Roman" w:hAnsi="Times New Roman"/>
          <w:sz w:val="24"/>
          <w:szCs w:val="24"/>
        </w:rPr>
        <w:t>2. Информация о ценовых предложениях участников</w:t>
      </w:r>
    </w:p>
    <w:tbl>
      <w:tblPr>
        <w:tblW w:w="9238"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1527"/>
        <w:gridCol w:w="3000"/>
        <w:gridCol w:w="2837"/>
        <w:gridCol w:w="1873"/>
      </w:tblGrid>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val="false"/>
                <w:bCs w:val="false"/>
                <w:sz w:val="24"/>
                <w:szCs w:val="24"/>
              </w:rPr>
              <w:t>Рег. № заявки на ЭТП</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val="false"/>
                <w:bCs w:val="false"/>
                <w:sz w:val="24"/>
                <w:szCs w:val="24"/>
              </w:rPr>
              <w:t>Участник закупки</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val="false"/>
                <w:bCs w:val="false"/>
                <w:sz w:val="24"/>
                <w:szCs w:val="24"/>
              </w:rPr>
              <w:t>Ценовое предложение сделанное участником закупки</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cs="Times New Roman" w:ascii="Times New Roman" w:hAnsi="Times New Roman"/>
                <w:b w:val="false"/>
                <w:bCs w:val="false"/>
                <w:sz w:val="24"/>
                <w:szCs w:val="24"/>
              </w:rPr>
              <w:t>Дата и время поступления</w:t>
            </w:r>
            <w:r>
              <w:rPr>
                <w:rFonts w:eastAsia="Times New Roman" w:cs="Times New Roman" w:ascii="Times New Roman" w:hAnsi="Times New Roman"/>
                <w:b w:val="false"/>
                <w:bCs w:val="false"/>
                <w:sz w:val="24"/>
                <w:szCs w:val="24"/>
              </w:rPr>
              <w:t xml:space="preserve"> ценового предложения</w:t>
            </w:r>
            <w:r>
              <w:rPr>
                <w:b w:val="false"/>
                <w:bCs w:val="false"/>
                <w:sz w:val="24"/>
                <w:szCs w:val="24"/>
              </w:rPr>
              <w:t xml:space="preserve">, </w:t>
            </w:r>
            <w:r>
              <w:rPr>
                <w:rFonts w:cs="Times New Roman" w:ascii="Times New Roman" w:hAnsi="Times New Roman"/>
                <w:b w:val="false"/>
                <w:bCs w:val="false"/>
                <w:sz w:val="24"/>
                <w:szCs w:val="24"/>
              </w:rPr>
              <w:t>сделанного участником закупки</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32615923234-1-2</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"БЭМ"</w:t>
              <w:br/>
            </w:r>
            <w:r>
              <w:rPr>
                <w:rFonts w:eastAsia="Times New Roman" w:cs="Times New Roman" w:ascii="Times New Roman" w:hAnsi="Times New Roman"/>
                <w:b w:val="false"/>
                <w:bCs w:val="false"/>
                <w:i/>
                <w:sz w:val="24"/>
                <w:szCs w:val="24"/>
              </w:rPr>
              <w:t>ИНН 0274397534</w:t>
              <w:br/>
              <w:t>450092, Башкортостан Респ, Уфа г, Авроры ул, 1, кв. 35</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1 280 009 (один миллион двести восемьдесят тысяч девять) рублей 06 копеек,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15:16</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32615923234-1-4</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"ЕВРОИНСТАЛЛ"</w:t>
              <w:br/>
            </w:r>
            <w:r>
              <w:rPr>
                <w:rFonts w:eastAsia="Times New Roman" w:cs="Times New Roman" w:ascii="Times New Roman" w:hAnsi="Times New Roman"/>
                <w:b w:val="false"/>
                <w:bCs w:val="false"/>
                <w:i/>
                <w:sz w:val="24"/>
                <w:szCs w:val="24"/>
              </w:rPr>
              <w:t>ИНН 3849035263</w:t>
              <w:br/>
              <w:t>664009, Иркутская обл, Иркутск г, Култукская ул, 13, оф. 412</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1 269 931 (один миллион двести шестьдесят девять тысяч девятьсот тридцать один) рубль 40 копеек,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18:07</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32615923234-1-1</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"ЛАНТРЕЙД"</w:t>
              <w:br/>
            </w:r>
            <w:r>
              <w:rPr>
                <w:rFonts w:eastAsia="Times New Roman" w:cs="Times New Roman" w:ascii="Times New Roman" w:hAnsi="Times New Roman"/>
                <w:b w:val="false"/>
                <w:bCs w:val="false"/>
                <w:i/>
                <w:sz w:val="24"/>
                <w:szCs w:val="24"/>
              </w:rPr>
              <w:t>ИНН 2466111775</w:t>
            </w:r>
            <w:r>
              <w:rPr>
                <w:rFonts w:eastAsia="Times New Roman" w:cs="Times New Roman" w:ascii="Times New Roman" w:hAnsi="Times New Roman"/>
                <w:b/>
                <w:i/>
                <w:sz w:val="24"/>
                <w:szCs w:val="24"/>
              </w:rPr>
              <w:br/>
            </w:r>
            <w:r>
              <w:rPr>
                <w:rFonts w:eastAsia="Times New Roman" w:cs="Times New Roman" w:ascii="Times New Roman" w:hAnsi="Times New Roman"/>
                <w:b w:val="false"/>
                <w:bCs w:val="false"/>
                <w:i/>
                <w:sz w:val="24"/>
                <w:szCs w:val="24"/>
              </w:rPr>
              <w:t>660062, Красноярский край, Красноярск г, Телевизорный пер, 9, лит. В10, оф. 8</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1 144 314 (один миллион сто сорок четыре тысячи триста четырнадцать) рублей 86 копеек,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12:22</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32615923234-1-3</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"ТЕХНОГРАД"</w:t>
              <w:br/>
            </w:r>
            <w:r>
              <w:rPr>
                <w:rFonts w:eastAsia="Times New Roman" w:cs="Times New Roman" w:ascii="Times New Roman" w:hAnsi="Times New Roman"/>
                <w:b w:val="false"/>
                <w:bCs w:val="false"/>
                <w:i/>
                <w:sz w:val="24"/>
                <w:szCs w:val="24"/>
              </w:rPr>
              <w:t>ИНН 2466210857</w:t>
            </w:r>
            <w:r>
              <w:rPr>
                <w:rFonts w:eastAsia="Times New Roman" w:cs="Times New Roman" w:ascii="Times New Roman" w:hAnsi="Times New Roman"/>
                <w:b/>
                <w:i/>
                <w:sz w:val="24"/>
                <w:szCs w:val="24"/>
              </w:rPr>
              <w:br/>
            </w:r>
            <w:r>
              <w:rPr>
                <w:rFonts w:eastAsia="Times New Roman" w:cs="Times New Roman" w:ascii="Times New Roman" w:hAnsi="Times New Roman"/>
                <w:b w:val="false"/>
                <w:bCs w:val="false"/>
                <w:i/>
                <w:sz w:val="24"/>
                <w:szCs w:val="24"/>
              </w:rPr>
              <w:t>660049, Красноярский край, Красноярск г, Ленина ул, 35, пом. 24</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1 200 292 (один миллион двести тысяч двести девяносто два) рубля 60 копеек,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16:45</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32615923234-1-5</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ГК "ОМИКОМ"</w:t>
              <w:br/>
            </w:r>
            <w:r>
              <w:rPr>
                <w:rFonts w:eastAsia="Times New Roman" w:cs="Times New Roman" w:ascii="Times New Roman" w:hAnsi="Times New Roman"/>
                <w:b w:val="false"/>
                <w:bCs w:val="false"/>
                <w:i/>
                <w:sz w:val="24"/>
                <w:szCs w:val="24"/>
              </w:rPr>
              <w:t>ИНН 2463245837</w:t>
            </w:r>
            <w:r>
              <w:rPr>
                <w:rFonts w:eastAsia="Times New Roman" w:cs="Times New Roman" w:ascii="Times New Roman" w:hAnsi="Times New Roman"/>
                <w:b/>
                <w:i/>
                <w:sz w:val="24"/>
                <w:szCs w:val="24"/>
              </w:rPr>
              <w:br/>
            </w:r>
            <w:r>
              <w:rPr>
                <w:rFonts w:eastAsia="Times New Roman" w:cs="Times New Roman" w:ascii="Times New Roman" w:hAnsi="Times New Roman"/>
                <w:b w:val="false"/>
                <w:bCs w:val="false"/>
                <w:i/>
                <w:sz w:val="24"/>
                <w:szCs w:val="24"/>
              </w:rPr>
              <w:t>660061, Красноярский край, Красноярск г, Цимлянская ул, 27</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1 296 201 (один миллион двести девяносто шесть тысяч двести один) рубль 69 копеек,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18:32</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r>
        <w:trPr>
          <w:trHeight w:val="1" w:hRule="atLeast"/>
        </w:trPr>
        <w:tc>
          <w:tcPr>
            <w:tcW w:w="152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32615923234-1-6</w:t>
            </w:r>
          </w:p>
        </w:tc>
        <w:tc>
          <w:tcPr>
            <w:tcW w:w="3000"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b/>
                <w:i/>
                <w:sz w:val="24"/>
                <w:szCs w:val="24"/>
              </w:rPr>
              <w:t>ООО "ТКЦ ЭНЕРГИЯ"</w:t>
              <w:br/>
            </w:r>
            <w:r>
              <w:rPr>
                <w:rFonts w:eastAsia="Times New Roman" w:cs="Times New Roman" w:ascii="Times New Roman" w:hAnsi="Times New Roman"/>
                <w:b w:val="false"/>
                <w:bCs w:val="false"/>
                <w:i/>
                <w:sz w:val="24"/>
                <w:szCs w:val="24"/>
              </w:rPr>
              <w:t>ИНН 7720374066</w:t>
              <w:br/>
              <w:t>111024, Москва г, Энтузиастов 1-я ул, 12А</w:t>
            </w:r>
          </w:p>
        </w:tc>
        <w:tc>
          <w:tcPr>
            <w:tcW w:w="283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Цена заявки: 1 330 027 (один миллион триста тридцать тысяч двадцать семь) рублей 74 копейки, включая НДС</w:t>
            </w:r>
          </w:p>
        </w:tc>
        <w:tc>
          <w:tcPr>
            <w:tcW w:w="18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sz w:val="24"/>
                <w:szCs w:val="24"/>
              </w:rPr>
            </w:pPr>
            <w:r>
              <w:rPr>
                <w:rFonts w:eastAsia="Times New Roman" w:cs="Times New Roman" w:ascii="Times New Roman" w:hAnsi="Times New Roman"/>
                <w:sz w:val="24"/>
                <w:szCs w:val="24"/>
              </w:rPr>
              <w:t>«22» апреля 2026 года 23:28</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(время московское)</w:t>
            </w:r>
          </w:p>
        </w:tc>
      </w:tr>
    </w:tbl>
    <w:p>
      <w:pPr>
        <w:pStyle w:val="Normal"/>
        <w:widowControl/>
        <w:bidi w:val="0"/>
        <w:spacing w:lineRule="auto" w:line="240" w:before="113" w:after="0"/>
        <w:ind w:hanging="0" w:left="0" w:right="0"/>
        <w:jc w:val="both"/>
        <w:rPr>
          <w:sz w:val="24"/>
          <w:szCs w:val="24"/>
        </w:rPr>
      </w:pPr>
      <w:r>
        <w:rPr>
          <w:rFonts w:cs="Times New Roman" w:ascii="Times New Roman" w:hAnsi="Times New Roman"/>
          <w:sz w:val="24"/>
          <w:szCs w:val="24"/>
        </w:rPr>
        <w:t>3.</w:t>
        <w:tab/>
        <w:t>По результатам рассмотрения заявок на участие в закупке закупочной комиссией были приняты следующие решения:</w:t>
      </w:r>
    </w:p>
    <w:p>
      <w:pPr>
        <w:pStyle w:val="Normal"/>
        <w:widowControl/>
        <w:bidi w:val="0"/>
        <w:spacing w:lineRule="auto" w:line="240" w:before="113" w:after="0"/>
        <w:ind w:hanging="0" w:left="0" w:right="0"/>
        <w:jc w:val="both"/>
        <w:rPr>
          <w:sz w:val="24"/>
          <w:szCs w:val="24"/>
        </w:rPr>
      </w:pPr>
      <w:r>
        <w:rPr>
          <w:rFonts w:cs="Times New Roman" w:ascii="Times New Roman" w:hAnsi="Times New Roman"/>
          <w:sz w:val="24"/>
          <w:szCs w:val="24"/>
        </w:rPr>
        <w:t>3.1. Допустить к дальнейшему участию в закупке следующих участников закупки, отвечающих требованиям документации по закупке и подавших заявки на участие в закупке, отвечающие требованиям документации по закупке:</w:t>
      </w:r>
    </w:p>
    <w:p>
      <w:pPr>
        <w:pStyle w:val="Normal"/>
        <w:spacing w:lineRule="auto" w:line="240" w:before="113" w:after="0"/>
        <w:ind w:right="556"/>
        <w:jc w:val="both"/>
        <w:rPr>
          <w:sz w:val="24"/>
          <w:szCs w:val="24"/>
        </w:rPr>
      </w:pPr>
      <w:r>
        <w:rPr>
          <w:rFonts w:cs="Times New Roman" w:ascii="Times New Roman" w:hAnsi="Times New Roman"/>
          <w:sz w:val="24"/>
          <w:szCs w:val="24"/>
        </w:rPr>
        <w:t xml:space="preserve">3.1.1. </w:t>
      </w:r>
      <w:r>
        <w:rPr>
          <w:rFonts w:eastAsia="Times New Roman" w:cs="Times New Roman" w:ascii="Times New Roman" w:hAnsi="Times New Roman"/>
          <w:b/>
          <w:i/>
          <w:sz w:val="24"/>
          <w:szCs w:val="24"/>
        </w:rPr>
        <w:t>ООО "БЭМ"</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u w:val="none"/>
        </w:rPr>
        <w:t>9</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«воздержался» – </w:t>
      </w:r>
      <w:r>
        <w:rPr>
          <w:rFonts w:eastAsia="Times New Roman" w:cs="Times New Roman" w:ascii="Times New Roman" w:hAnsi="Times New Roman"/>
          <w:b w:val="false"/>
          <w:bCs w:val="false"/>
          <w:i w:val="false"/>
          <w:iCs w:val="false"/>
          <w:sz w:val="24"/>
          <w:szCs w:val="24"/>
          <w:u w:val="single"/>
        </w:rPr>
        <w:t>0</w:t>
      </w:r>
      <w:r>
        <w:rPr>
          <w:rFonts w:eastAsia="Times New Roman" w:cs="Times New Roman" w:ascii="Times New Roman" w:hAnsi="Times New Roman"/>
          <w:b w:val="false"/>
          <w:bCs w:val="false"/>
          <w:i w:val="false"/>
          <w:iCs w:val="false"/>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113" w:after="0"/>
        <w:ind w:right="556"/>
        <w:jc w:val="both"/>
        <w:rPr>
          <w:sz w:val="24"/>
          <w:szCs w:val="24"/>
        </w:rPr>
      </w:pPr>
      <w:r>
        <w:rPr>
          <w:rFonts w:cs="Times New Roman" w:ascii="Times New Roman" w:hAnsi="Times New Roman"/>
          <w:sz w:val="24"/>
          <w:szCs w:val="24"/>
        </w:rPr>
        <w:t xml:space="preserve">3.1.2. </w:t>
      </w:r>
      <w:r>
        <w:rPr>
          <w:rFonts w:eastAsia="Times New Roman" w:cs="Times New Roman" w:ascii="Times New Roman" w:hAnsi="Times New Roman"/>
          <w:b/>
          <w:i/>
          <w:sz w:val="24"/>
          <w:szCs w:val="24"/>
        </w:rPr>
        <w:t>ООО "ЕВРОИНСТАЛЛ"</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u w:val="none"/>
        </w:rPr>
        <w:t>9</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«воздержался» – </w:t>
      </w:r>
      <w:r>
        <w:rPr>
          <w:rFonts w:eastAsia="Times New Roman" w:cs="Times New Roman" w:ascii="Times New Roman" w:hAnsi="Times New Roman"/>
          <w:b w:val="false"/>
          <w:bCs w:val="false"/>
          <w:i w:val="false"/>
          <w:iCs w:val="false"/>
          <w:sz w:val="24"/>
          <w:szCs w:val="24"/>
          <w:u w:val="single"/>
        </w:rPr>
        <w:t>0</w:t>
      </w:r>
      <w:r>
        <w:rPr>
          <w:rFonts w:eastAsia="Times New Roman" w:cs="Times New Roman" w:ascii="Times New Roman" w:hAnsi="Times New Roman"/>
          <w:b w:val="false"/>
          <w:bCs w:val="false"/>
          <w:i w:val="false"/>
          <w:iCs w:val="false"/>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113" w:after="0"/>
        <w:ind w:right="556"/>
        <w:jc w:val="both"/>
        <w:rPr>
          <w:sz w:val="24"/>
          <w:szCs w:val="24"/>
        </w:rPr>
      </w:pPr>
      <w:r>
        <w:rPr>
          <w:rFonts w:cs="Times New Roman" w:ascii="Times New Roman" w:hAnsi="Times New Roman"/>
          <w:sz w:val="24"/>
          <w:szCs w:val="24"/>
        </w:rPr>
        <w:t xml:space="preserve">3.1.3. </w:t>
      </w:r>
      <w:r>
        <w:rPr>
          <w:rFonts w:eastAsia="Times New Roman" w:cs="Times New Roman" w:ascii="Times New Roman" w:hAnsi="Times New Roman"/>
          <w:b/>
          <w:i/>
          <w:sz w:val="24"/>
          <w:szCs w:val="24"/>
        </w:rPr>
        <w:t>ООО "ЛАНТРЕЙД"</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«за» –</w:t>
      </w:r>
      <w:r>
        <w:rPr>
          <w:rFonts w:eastAsia="Times New Roman" w:cs="Times New Roman" w:ascii="Times New Roman" w:hAnsi="Times New Roman"/>
          <w:b w:val="false"/>
          <w:bCs w:val="false"/>
          <w:sz w:val="24"/>
          <w:szCs w:val="24"/>
        </w:rPr>
        <w:t xml:space="preserve"> </w:t>
      </w:r>
      <w:r>
        <w:rPr>
          <w:rFonts w:eastAsia="Times New Roman" w:cs="Times New Roman" w:ascii="Times New Roman" w:hAnsi="Times New Roman"/>
          <w:b w:val="false"/>
          <w:bCs w:val="false"/>
          <w:sz w:val="24"/>
          <w:szCs w:val="24"/>
          <w:u w:val="none"/>
        </w:rPr>
        <w:t>_</w:t>
      </w:r>
      <w:r>
        <w:rPr>
          <w:rFonts w:eastAsia="Times New Roman" w:cs="Times New Roman" w:ascii="Times New Roman" w:hAnsi="Times New Roman"/>
          <w:b w:val="false"/>
          <w:bCs w:val="false"/>
          <w:sz w:val="24"/>
          <w:szCs w:val="24"/>
          <w:u w:val="none"/>
        </w:rPr>
        <w:t>9</w:t>
      </w:r>
      <w:r>
        <w:rPr>
          <w:rFonts w:eastAsia="Times New Roman" w:cs="Times New Roman" w:ascii="Times New Roman" w:hAnsi="Times New Roman"/>
          <w:b w:val="false"/>
          <w:bCs w:val="false"/>
          <w:sz w:val="24"/>
          <w:szCs w:val="24"/>
          <w:u w:val="non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«воздержался» – </w:t>
      </w:r>
      <w:r>
        <w:rPr>
          <w:rFonts w:eastAsia="Times New Roman" w:cs="Times New Roman" w:ascii="Times New Roman" w:hAnsi="Times New Roman"/>
          <w:b w:val="false"/>
          <w:bCs w:val="false"/>
          <w:i w:val="false"/>
          <w:iCs w:val="false"/>
          <w:sz w:val="24"/>
          <w:szCs w:val="24"/>
          <w:u w:val="single"/>
        </w:rPr>
        <w:t>0</w:t>
      </w:r>
      <w:r>
        <w:rPr>
          <w:rFonts w:eastAsia="Times New Roman" w:cs="Times New Roman" w:ascii="Times New Roman" w:hAnsi="Times New Roman"/>
          <w:b w:val="false"/>
          <w:bCs w:val="false"/>
          <w:i w:val="false"/>
          <w:iCs w:val="false"/>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113" w:after="0"/>
        <w:ind w:right="556"/>
        <w:jc w:val="both"/>
        <w:rPr>
          <w:sz w:val="24"/>
          <w:szCs w:val="24"/>
        </w:rPr>
      </w:pPr>
      <w:r>
        <w:rPr>
          <w:rFonts w:cs="Times New Roman" w:ascii="Times New Roman" w:hAnsi="Times New Roman"/>
          <w:sz w:val="24"/>
          <w:szCs w:val="24"/>
        </w:rPr>
        <w:t xml:space="preserve">3.1.4. </w:t>
      </w:r>
      <w:r>
        <w:rPr>
          <w:rFonts w:eastAsia="Times New Roman" w:cs="Times New Roman" w:ascii="Times New Roman" w:hAnsi="Times New Roman"/>
          <w:b/>
          <w:i/>
          <w:sz w:val="24"/>
          <w:szCs w:val="24"/>
        </w:rPr>
        <w:t>ООО "ТЕХНОГРАД"</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u w:val="single"/>
        </w:rPr>
        <w:t>9</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«воздержался» – </w:t>
      </w:r>
      <w:r>
        <w:rPr>
          <w:rFonts w:eastAsia="Times New Roman" w:cs="Times New Roman" w:ascii="Times New Roman" w:hAnsi="Times New Roman"/>
          <w:b w:val="false"/>
          <w:bCs w:val="false"/>
          <w:i w:val="false"/>
          <w:iCs w:val="false"/>
          <w:sz w:val="24"/>
          <w:szCs w:val="24"/>
          <w:u w:val="single"/>
        </w:rPr>
        <w:t>0</w:t>
      </w:r>
      <w:r>
        <w:rPr>
          <w:rFonts w:eastAsia="Times New Roman" w:cs="Times New Roman" w:ascii="Times New Roman" w:hAnsi="Times New Roman"/>
          <w:b w:val="false"/>
          <w:bCs w:val="false"/>
          <w:i w:val="false"/>
          <w:iCs w:val="false"/>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113" w:after="0"/>
        <w:ind w:right="556"/>
        <w:jc w:val="both"/>
        <w:rPr>
          <w:sz w:val="24"/>
          <w:szCs w:val="24"/>
        </w:rPr>
      </w:pPr>
      <w:r>
        <w:rPr>
          <w:rFonts w:cs="Times New Roman" w:ascii="Times New Roman" w:hAnsi="Times New Roman"/>
          <w:sz w:val="24"/>
          <w:szCs w:val="24"/>
        </w:rPr>
        <w:t xml:space="preserve">3.1.5. </w:t>
      </w:r>
      <w:r>
        <w:rPr>
          <w:rFonts w:eastAsia="Times New Roman" w:cs="Times New Roman" w:ascii="Times New Roman" w:hAnsi="Times New Roman"/>
          <w:b/>
          <w:i/>
          <w:sz w:val="24"/>
          <w:szCs w:val="24"/>
        </w:rPr>
        <w:t>ООО ГК "ОМИКОМ"</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u w:val="single"/>
        </w:rPr>
        <w:t>9</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«воздержался» – </w:t>
      </w:r>
      <w:r>
        <w:rPr>
          <w:rFonts w:eastAsia="Times New Roman" w:cs="Times New Roman" w:ascii="Times New Roman" w:hAnsi="Times New Roman"/>
          <w:b w:val="false"/>
          <w:bCs w:val="false"/>
          <w:i w:val="false"/>
          <w:iCs w:val="false"/>
          <w:sz w:val="24"/>
          <w:szCs w:val="24"/>
          <w:u w:val="single"/>
        </w:rPr>
        <w:t>0</w:t>
      </w:r>
      <w:r>
        <w:rPr>
          <w:rFonts w:eastAsia="Times New Roman" w:cs="Times New Roman" w:ascii="Times New Roman" w:hAnsi="Times New Roman"/>
          <w:b w:val="false"/>
          <w:bCs w:val="false"/>
          <w:i w:val="false"/>
          <w:iCs w:val="false"/>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113" w:after="0"/>
        <w:jc w:val="both"/>
        <w:rPr>
          <w:sz w:val="24"/>
          <w:szCs w:val="24"/>
        </w:rPr>
      </w:pPr>
      <w:r>
        <w:rPr>
          <w:rFonts w:eastAsia="Times New Roman" w:cs="Times New Roman" w:ascii="Times New Roman" w:hAnsi="Times New Roman"/>
          <w:b w:val="false"/>
          <w:bCs w:val="false"/>
          <w:i w:val="false"/>
          <w:iCs w:val="false"/>
          <w:sz w:val="24"/>
          <w:szCs w:val="24"/>
        </w:rPr>
        <w:t xml:space="preserve">3.2. </w:t>
      </w:r>
      <w:r>
        <w:rPr>
          <w:rFonts w:eastAsia="Times New Roman" w:cs="Times New Roman" w:ascii="Times New Roman" w:hAnsi="Times New Roman"/>
          <w:b/>
          <w:bCs/>
          <w:i w:val="false"/>
          <w:iCs w:val="false"/>
          <w:sz w:val="24"/>
          <w:szCs w:val="24"/>
        </w:rPr>
        <w:t>Отказать</w:t>
      </w:r>
      <w:r>
        <w:rPr>
          <w:rFonts w:eastAsia="Times New Roman" w:cs="Times New Roman" w:ascii="Times New Roman" w:hAnsi="Times New Roman"/>
          <w:b w:val="false"/>
          <w:bCs w:val="false"/>
          <w:i w:val="false"/>
          <w:iCs w:val="false"/>
          <w:sz w:val="24"/>
          <w:szCs w:val="24"/>
        </w:rPr>
        <w:t xml:space="preserve"> в допуске к дальнейшему участию в закупке следующим участникам закупки, подавшим заявки:</w:t>
      </w:r>
    </w:p>
    <w:p>
      <w:pPr>
        <w:pStyle w:val="Normal"/>
        <w:spacing w:lineRule="auto" w:line="240" w:before="57" w:after="0"/>
        <w:jc w:val="both"/>
        <w:rPr>
          <w:sz w:val="24"/>
          <w:szCs w:val="24"/>
        </w:rPr>
      </w:pPr>
      <w:r>
        <w:rPr>
          <w:rFonts w:eastAsia="Times New Roman" w:cs="Times New Roman" w:ascii="Times New Roman" w:hAnsi="Times New Roman"/>
          <w:b w:val="false"/>
          <w:bCs w:val="false"/>
          <w:i w:val="false"/>
          <w:iCs w:val="false"/>
          <w:sz w:val="24"/>
          <w:szCs w:val="24"/>
        </w:rPr>
        <w:t xml:space="preserve">3.2.1. </w:t>
      </w:r>
      <w:r>
        <w:rPr>
          <w:rFonts w:eastAsia="Times New Roman" w:cs="Times New Roman" w:ascii="Times New Roman" w:hAnsi="Times New Roman"/>
          <w:b/>
          <w:bCs w:val="false"/>
          <w:i/>
          <w:iCs w:val="false"/>
          <w:sz w:val="24"/>
          <w:szCs w:val="24"/>
        </w:rPr>
        <w:t>ООО "ТКЦ ЭНЕРГИЯ"</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в соответствии с подпунктом а) «несоответствие заявки по составу, содержанию и оформлению, в том числе представленного технического предложения» пункта 7.8 части 2 закупочной документации, а именно:</w:t>
      </w:r>
    </w:p>
    <w:p>
      <w:pPr>
        <w:pStyle w:val="Normal"/>
        <w:spacing w:lineRule="auto" w:line="240" w:before="0" w:after="0"/>
        <w:jc w:val="both"/>
        <w:rPr>
          <w:sz w:val="24"/>
          <w:szCs w:val="24"/>
        </w:rPr>
      </w:pPr>
      <w:r>
        <w:rPr>
          <w:rFonts w:eastAsia="Times New Roman" w:cs="Times New Roman" w:ascii="Times New Roman" w:hAnsi="Times New Roman"/>
          <w:b w:val="false"/>
          <w:bCs w:val="false"/>
          <w:i w:val="false"/>
          <w:iCs w:val="false"/>
          <w:sz w:val="24"/>
          <w:szCs w:val="24"/>
        </w:rPr>
        <w:t xml:space="preserve">- в составе заявки на участие в закупке отсутствует форма 4 «Справка о непредставлении товаров, в отношении которых установлен запрет согласно постановлению Правительства Российской Федерации от 29.12.2018 № 1716-83» закупочной документации, подтверждающая непредоставление к поставке товаров страной </w:t>
      </w:r>
      <w:r>
        <w:rPr>
          <w:rFonts w:eastAsia="Times New Roman" w:cs="Times New Roman" w:ascii="Times New Roman" w:hAnsi="Times New Roman"/>
          <w:b w:val="false"/>
          <w:bCs w:val="false"/>
          <w:i w:val="false"/>
          <w:iCs w:val="false"/>
          <w:color w:val="000000"/>
          <w:sz w:val="24"/>
          <w:szCs w:val="24"/>
          <w:lang w:bidi="ru-RU"/>
        </w:rPr>
        <w:t>происхождения либо страной отправления которых является Украина или которые перемещаются через территорию Украины</w:t>
      </w:r>
      <w:r>
        <w:rPr>
          <w:rFonts w:eastAsia="Times New Roman" w:cs="Times New Roman" w:ascii="Times New Roman" w:hAnsi="Times New Roman"/>
          <w:b w:val="false"/>
          <w:bCs w:val="false"/>
          <w:i w:val="false"/>
          <w:iCs w:val="false"/>
          <w:sz w:val="24"/>
          <w:szCs w:val="24"/>
        </w:rPr>
        <w:t>.</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u w:val="none"/>
        </w:rPr>
        <w:t>9</w:t>
      </w:r>
      <w:r>
        <w:rPr>
          <w:rFonts w:eastAsia="Times New Roman" w:cs="Times New Roman" w:ascii="Times New Roman" w:hAnsi="Times New Roman"/>
          <w:sz w:val="24"/>
          <w:szCs w:val="24"/>
          <w:u w:val="non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«воздержался»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p>
    <w:p>
      <w:pPr>
        <w:pStyle w:val="Normal"/>
        <w:spacing w:lineRule="auto" w:line="240" w:before="57" w:after="0"/>
        <w:jc w:val="both"/>
        <w:rPr>
          <w:sz w:val="22"/>
          <w:szCs w:val="22"/>
        </w:rPr>
      </w:pPr>
      <w:r>
        <w:rPr>
          <w:rFonts w:eastAsia="Times New Roman" w:cs="Times New Roman" w:ascii="Times New Roman" w:hAnsi="Times New Roman"/>
          <w:b w:val="false"/>
          <w:bCs w:val="false"/>
          <w:i/>
          <w:sz w:val="22"/>
          <w:szCs w:val="22"/>
        </w:rPr>
        <w:t>Количество заявок на участие в закупке, которые отклонены: 1 (одна) заявка на участие в закупке.</w:t>
      </w:r>
    </w:p>
    <w:p>
      <w:pPr>
        <w:pStyle w:val="Normal"/>
        <w:widowControl/>
        <w:bidi w:val="0"/>
        <w:spacing w:lineRule="auto" w:line="240" w:before="113" w:after="0"/>
        <w:ind w:hanging="0" w:left="0" w:right="0"/>
        <w:jc w:val="both"/>
        <w:rPr>
          <w:sz w:val="24"/>
          <w:szCs w:val="24"/>
        </w:rPr>
      </w:pPr>
      <w:r>
        <w:rPr>
          <w:rFonts w:cs="Times New Roman" w:ascii="Times New Roman" w:hAnsi="Times New Roman"/>
          <w:sz w:val="24"/>
          <w:szCs w:val="24"/>
        </w:rPr>
        <w:t>4.</w:t>
        <w:tab/>
        <w:t>Определение страны происхождения предлагаемого товара:</w:t>
      </w:r>
    </w:p>
    <w:tbl>
      <w:tblPr>
        <w:tblW w:w="9301" w:type="dxa"/>
        <w:jc w:val="center"/>
        <w:tblInd w:w="0" w:type="dxa"/>
        <w:tblLayout w:type="fixed"/>
        <w:tblCellMar>
          <w:top w:w="55" w:type="dxa"/>
          <w:left w:w="108" w:type="dxa"/>
          <w:bottom w:w="55" w:type="dxa"/>
          <w:right w:w="108" w:type="dxa"/>
        </w:tblCellMar>
      </w:tblPr>
      <w:tblGrid>
        <w:gridCol w:w="2275"/>
        <w:gridCol w:w="1638"/>
        <w:gridCol w:w="2553"/>
        <w:gridCol w:w="2834"/>
      </w:tblGrid>
      <w:tr>
        <w:trPr>
          <w:trHeight w:val="727" w:hRule="atLeast"/>
        </w:trPr>
        <w:tc>
          <w:tcPr>
            <w:tcW w:w="2275" w:type="dxa"/>
            <w:tcBorders>
              <w:top w:val="single" w:sz="4" w:space="0" w:color="000000"/>
              <w:left w:val="single" w:sz="4" w:space="0" w:color="000000"/>
              <w:bottom w:val="single" w:sz="4" w:space="0" w:color="000000"/>
            </w:tcBorders>
            <w:vAlign w:val="center"/>
          </w:tcPr>
          <w:p>
            <w:pPr>
              <w:pStyle w:val="Normal"/>
              <w:widowControl w:val="false"/>
              <w:suppressAutoHyphens w:val="false"/>
              <w:spacing w:before="0" w:after="0"/>
              <w:jc w:val="center"/>
              <w:rPr>
                <w:sz w:val="22"/>
                <w:szCs w:val="22"/>
              </w:rPr>
            </w:pPr>
            <w:r>
              <w:rPr>
                <w:rFonts w:eastAsia="Calibri" w:cs="Times New Roman" w:ascii="Times New Roman" w:hAnsi="Times New Roman"/>
                <w:color w:val="auto"/>
                <w:sz w:val="22"/>
                <w:szCs w:val="22"/>
                <w:lang w:val="ru-RU" w:eastAsia="zh-CN" w:bidi="ar-SA"/>
              </w:rPr>
              <w:t>Наименование</w:t>
            </w:r>
          </w:p>
          <w:p>
            <w:pPr>
              <w:pStyle w:val="Normal"/>
              <w:widowControl w:val="false"/>
              <w:suppressAutoHyphens w:val="false"/>
              <w:spacing w:before="0" w:after="0"/>
              <w:jc w:val="center"/>
              <w:rPr>
                <w:sz w:val="22"/>
                <w:szCs w:val="22"/>
              </w:rPr>
            </w:pPr>
            <w:r>
              <w:rPr>
                <w:rFonts w:eastAsia="Calibri" w:cs="Times New Roman" w:ascii="Times New Roman" w:hAnsi="Times New Roman"/>
                <w:color w:val="auto"/>
                <w:sz w:val="22"/>
                <w:szCs w:val="22"/>
                <w:lang w:val="ru-RU" w:eastAsia="zh-CN" w:bidi="ar-SA"/>
              </w:rPr>
              <w:t>участника</w:t>
            </w:r>
          </w:p>
        </w:tc>
        <w:tc>
          <w:tcPr>
            <w:tcW w:w="1638" w:type="dxa"/>
            <w:tcBorders>
              <w:top w:val="single" w:sz="4" w:space="0" w:color="000000"/>
              <w:left w:val="single" w:sz="4" w:space="0" w:color="000000"/>
              <w:bottom w:val="single" w:sz="4" w:space="0" w:color="000000"/>
            </w:tcBorders>
            <w:vAlign w:val="center"/>
          </w:tcPr>
          <w:p>
            <w:pPr>
              <w:pStyle w:val="Normal"/>
              <w:widowControl w:val="false"/>
              <w:suppressAutoHyphens w:val="false"/>
              <w:spacing w:before="0" w:after="0"/>
              <w:jc w:val="center"/>
              <w:rPr>
                <w:sz w:val="22"/>
                <w:szCs w:val="22"/>
              </w:rPr>
            </w:pPr>
            <w:r>
              <w:rPr>
                <w:rFonts w:eastAsia="Calibri" w:cs="Times New Roman" w:ascii="Times New Roman" w:hAnsi="Times New Roman"/>
                <w:color w:val="auto"/>
                <w:sz w:val="22"/>
                <w:szCs w:val="22"/>
                <w:lang w:val="ru-RU" w:eastAsia="zh-CN" w:bidi="ar-SA"/>
              </w:rPr>
              <w:t>Страна (-ы) происхождения товара</w:t>
            </w:r>
          </w:p>
        </w:tc>
        <w:tc>
          <w:tcPr>
            <w:tcW w:w="2553" w:type="dxa"/>
            <w:tcBorders>
              <w:top w:val="single" w:sz="4" w:space="0" w:color="000000"/>
              <w:left w:val="single" w:sz="4" w:space="0" w:color="000000"/>
              <w:bottom w:val="single" w:sz="4" w:space="0" w:color="000000"/>
            </w:tcBorders>
            <w:vAlign w:val="center"/>
          </w:tcPr>
          <w:p>
            <w:pPr>
              <w:pStyle w:val="Normal"/>
              <w:widowControl w:val="false"/>
              <w:suppressAutoHyphens w:val="false"/>
              <w:spacing w:before="0" w:after="0"/>
              <w:jc w:val="center"/>
              <w:rPr>
                <w:sz w:val="22"/>
                <w:szCs w:val="22"/>
              </w:rPr>
            </w:pPr>
            <w:r>
              <w:rPr>
                <w:rFonts w:eastAsia="Calibri" w:cs="Times New Roman" w:ascii="Times New Roman" w:hAnsi="Times New Roman"/>
                <w:color w:val="auto"/>
                <w:sz w:val="22"/>
                <w:szCs w:val="22"/>
                <w:lang w:val="ru-RU" w:eastAsia="zh-CN" w:bidi="ar-SA"/>
              </w:rPr>
              <w:t>Цена заявки с учетом единого базиса сравнения ценовых предложений**</w:t>
            </w:r>
          </w:p>
        </w:tc>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sz w:val="22"/>
                <w:szCs w:val="22"/>
              </w:rPr>
            </w:pPr>
            <w:r>
              <w:rPr>
                <w:rFonts w:eastAsia="Calibri" w:cs="Times New Roman" w:ascii="Times New Roman" w:hAnsi="Times New Roman"/>
                <w:color w:val="auto"/>
                <w:sz w:val="22"/>
                <w:szCs w:val="22"/>
                <w:lang w:val="ru-RU" w:eastAsia="zh-CN" w:bidi="ar-SA"/>
              </w:rPr>
              <w:t>Цена заявки с учетом предоставления преференций***</w:t>
            </w:r>
          </w:p>
        </w:tc>
      </w:tr>
      <w:tr>
        <w:trPr>
          <w:trHeight w:val="727" w:hRule="atLeast"/>
        </w:trPr>
        <w:tc>
          <w:tcPr>
            <w:tcW w:w="2275" w:type="dxa"/>
            <w:tcBorders>
              <w:left w:val="single" w:sz="4" w:space="0" w:color="000000"/>
              <w:bottom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"ЛАНТРЕЙД"</w:t>
            </w:r>
          </w:p>
        </w:tc>
        <w:tc>
          <w:tcPr>
            <w:tcW w:w="1638"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РФ</w:t>
            </w:r>
          </w:p>
        </w:tc>
        <w:tc>
          <w:tcPr>
            <w:tcW w:w="2553"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1 144 314,86 руб. с НДС</w:t>
            </w:r>
          </w:p>
        </w:tc>
        <w:tc>
          <w:tcPr>
            <w:tcW w:w="2834"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highlight w:val="none"/>
                <w:shd w:fill="auto" w:val="clear"/>
                <w:lang w:val="ru-RU" w:eastAsia="zh-CN" w:bidi="ar-SA"/>
              </w:rPr>
            </w:pPr>
            <w:r>
              <w:rPr>
                <w:rFonts w:eastAsia="Calibri" w:cs="Times New Roman" w:ascii="Times New Roman" w:hAnsi="Times New Roman"/>
                <w:color w:val="000000"/>
                <w:sz w:val="24"/>
                <w:szCs w:val="24"/>
                <w:shd w:fill="auto" w:val="clear"/>
                <w:lang w:val="ru-RU" w:eastAsia="zh-CN" w:bidi="ar-SA"/>
              </w:rPr>
              <w:t>972 667,63 руб. с НДС</w:t>
            </w:r>
          </w:p>
        </w:tc>
      </w:tr>
      <w:tr>
        <w:trPr>
          <w:trHeight w:val="727" w:hRule="atLeast"/>
        </w:trPr>
        <w:tc>
          <w:tcPr>
            <w:tcW w:w="2275" w:type="dxa"/>
            <w:tcBorders>
              <w:left w:val="single" w:sz="4" w:space="0" w:color="000000"/>
              <w:bottom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"ТЕХНОГРАД"</w:t>
            </w:r>
          </w:p>
        </w:tc>
        <w:tc>
          <w:tcPr>
            <w:tcW w:w="1638"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РФ*</w:t>
            </w:r>
          </w:p>
          <w:p>
            <w:pPr>
              <w:pStyle w:val="Normal"/>
              <w:widowControl w:val="false"/>
              <w:suppressAutoHyphens w:val="false"/>
              <w:spacing w:before="0" w:after="0"/>
              <w:jc w:val="center"/>
              <w:rPr>
                <w:rFonts w:ascii="Times New Roman" w:hAnsi="Times New Roman" w:eastAsia="Calibri" w:cs="Times New Roman"/>
                <w:i/>
                <w:i/>
                <w:iCs/>
                <w:color w:val="auto"/>
                <w:sz w:val="20"/>
                <w:szCs w:val="20"/>
                <w:lang w:val="ru-RU" w:eastAsia="zh-CN" w:bidi="ar-SA"/>
              </w:rPr>
            </w:pPr>
            <w:r>
              <w:rPr>
                <w:rFonts w:eastAsia="Calibri" w:cs="Times New Roman" w:ascii="Times New Roman" w:hAnsi="Times New Roman"/>
                <w:i/>
                <w:iCs/>
                <w:color w:val="auto"/>
                <w:sz w:val="20"/>
                <w:szCs w:val="20"/>
                <w:lang w:val="ru-RU" w:eastAsia="zh-CN" w:bidi="ar-SA"/>
              </w:rPr>
              <w:t>(отсутствует указание номера реестровой записи по п.1-2 ТП)</w:t>
            </w:r>
          </w:p>
        </w:tc>
        <w:tc>
          <w:tcPr>
            <w:tcW w:w="2553"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1 200 292,60 руб. с НДС</w:t>
            </w:r>
          </w:p>
        </w:tc>
        <w:tc>
          <w:tcPr>
            <w:tcW w:w="2834"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highlight w:val="none"/>
                <w:shd w:fill="auto" w:val="clear"/>
                <w:lang w:val="ru-RU" w:eastAsia="zh-CN" w:bidi="ar-SA"/>
              </w:rPr>
            </w:pPr>
            <w:r>
              <w:rPr>
                <w:rFonts w:eastAsia="Calibri" w:cs="Times New Roman" w:ascii="Times New Roman" w:hAnsi="Times New Roman"/>
                <w:color w:val="000000"/>
                <w:sz w:val="24"/>
                <w:szCs w:val="24"/>
                <w:shd w:fill="auto" w:val="clear"/>
                <w:lang w:val="ru-RU" w:eastAsia="zh-CN" w:bidi="ar-SA"/>
              </w:rPr>
              <w:t>1 200 292,60 руб. с НДС</w:t>
            </w:r>
          </w:p>
        </w:tc>
      </w:tr>
      <w:tr>
        <w:trPr>
          <w:trHeight w:val="727" w:hRule="atLeast"/>
        </w:trPr>
        <w:tc>
          <w:tcPr>
            <w:tcW w:w="2275" w:type="dxa"/>
            <w:tcBorders>
              <w:left w:val="single" w:sz="4" w:space="0" w:color="000000"/>
              <w:bottom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"ЕВРОИНСТАЛЛ"</w:t>
            </w:r>
          </w:p>
        </w:tc>
        <w:tc>
          <w:tcPr>
            <w:tcW w:w="1638"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РФ</w:t>
            </w:r>
          </w:p>
        </w:tc>
        <w:tc>
          <w:tcPr>
            <w:tcW w:w="2553"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1 269 931,40 руб. с НДС</w:t>
            </w:r>
          </w:p>
        </w:tc>
        <w:tc>
          <w:tcPr>
            <w:tcW w:w="2834"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highlight w:val="none"/>
                <w:shd w:fill="auto" w:val="clear"/>
                <w:lang w:val="ru-RU" w:eastAsia="zh-CN" w:bidi="ar-SA"/>
              </w:rPr>
            </w:pPr>
            <w:r>
              <w:rPr>
                <w:rFonts w:eastAsia="Calibri" w:cs="Times New Roman" w:ascii="Times New Roman" w:hAnsi="Times New Roman"/>
                <w:color w:val="000000"/>
                <w:sz w:val="24"/>
                <w:szCs w:val="24"/>
                <w:shd w:fill="auto" w:val="clear"/>
                <w:lang w:val="ru-RU" w:eastAsia="zh-CN" w:bidi="ar-SA"/>
              </w:rPr>
              <w:t>1 079 441,69 руб. с НДС</w:t>
            </w:r>
          </w:p>
        </w:tc>
      </w:tr>
      <w:tr>
        <w:trPr>
          <w:trHeight w:val="727" w:hRule="atLeast"/>
        </w:trPr>
        <w:tc>
          <w:tcPr>
            <w:tcW w:w="2275" w:type="dxa"/>
            <w:tcBorders>
              <w:left w:val="single" w:sz="4" w:space="0" w:color="000000"/>
              <w:bottom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"БЭМ"</w:t>
            </w:r>
          </w:p>
        </w:tc>
        <w:tc>
          <w:tcPr>
            <w:tcW w:w="1638"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РФ</w:t>
            </w:r>
          </w:p>
        </w:tc>
        <w:tc>
          <w:tcPr>
            <w:tcW w:w="2553"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1 280 009,06 руб. с НДС</w:t>
            </w:r>
          </w:p>
        </w:tc>
        <w:tc>
          <w:tcPr>
            <w:tcW w:w="2834"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highlight w:val="none"/>
                <w:shd w:fill="auto" w:val="clear"/>
                <w:lang w:val="ru-RU" w:eastAsia="zh-CN" w:bidi="ar-SA"/>
              </w:rPr>
            </w:pPr>
            <w:r>
              <w:rPr>
                <w:rFonts w:eastAsia="Calibri" w:cs="Times New Roman" w:ascii="Times New Roman" w:hAnsi="Times New Roman"/>
                <w:color w:val="000000"/>
                <w:sz w:val="24"/>
                <w:szCs w:val="24"/>
                <w:shd w:fill="auto" w:val="clear"/>
                <w:lang w:val="ru-RU" w:eastAsia="zh-CN" w:bidi="ar-SA"/>
              </w:rPr>
              <w:t>1 088 007,70 руб. с НДС</w:t>
            </w:r>
          </w:p>
        </w:tc>
      </w:tr>
      <w:tr>
        <w:trPr>
          <w:trHeight w:val="727" w:hRule="atLeast"/>
        </w:trPr>
        <w:tc>
          <w:tcPr>
            <w:tcW w:w="2275" w:type="dxa"/>
            <w:tcBorders>
              <w:left w:val="single" w:sz="4" w:space="0" w:color="000000"/>
              <w:bottom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ГК "ОМИКОМ"</w:t>
            </w:r>
          </w:p>
        </w:tc>
        <w:tc>
          <w:tcPr>
            <w:tcW w:w="1638"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РФ*</w:t>
            </w:r>
          </w:p>
          <w:p>
            <w:pPr>
              <w:pStyle w:val="Normal"/>
              <w:widowControl w:val="false"/>
              <w:suppressAutoHyphens w:val="false"/>
              <w:spacing w:before="0" w:after="0"/>
              <w:jc w:val="center"/>
              <w:rPr>
                <w:rFonts w:ascii="Times New Roman" w:hAnsi="Times New Roman" w:eastAsia="Calibri" w:cs="Times New Roman"/>
                <w:i/>
                <w:i/>
                <w:iCs/>
                <w:color w:val="auto"/>
                <w:sz w:val="20"/>
                <w:szCs w:val="20"/>
                <w:lang w:val="ru-RU" w:eastAsia="zh-CN" w:bidi="ar-SA"/>
              </w:rPr>
            </w:pPr>
            <w:r>
              <w:rPr>
                <w:rFonts w:eastAsia="Calibri" w:cs="Times New Roman" w:ascii="Times New Roman" w:hAnsi="Times New Roman"/>
                <w:i/>
                <w:iCs/>
                <w:color w:val="auto"/>
                <w:sz w:val="20"/>
                <w:szCs w:val="20"/>
                <w:lang w:val="ru-RU" w:eastAsia="zh-CN" w:bidi="ar-SA"/>
              </w:rPr>
              <w:t>(отсутствует указание номера реестровой записи по п.1-2 ТП)</w:t>
            </w:r>
          </w:p>
        </w:tc>
        <w:tc>
          <w:tcPr>
            <w:tcW w:w="2553" w:type="dxa"/>
            <w:tcBorders>
              <w:left w:val="single" w:sz="4" w:space="0" w:color="000000"/>
              <w:bottom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1 296 201,69 руб. с НДС</w:t>
            </w:r>
          </w:p>
        </w:tc>
        <w:tc>
          <w:tcPr>
            <w:tcW w:w="2834"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before="0" w:after="0"/>
              <w:jc w:val="center"/>
              <w:rPr>
                <w:rFonts w:ascii="Times New Roman" w:hAnsi="Times New Roman" w:eastAsia="Calibri" w:cs="Times New Roman"/>
                <w:color w:val="auto"/>
                <w:sz w:val="24"/>
                <w:szCs w:val="24"/>
                <w:lang w:val="ru-RU" w:eastAsia="zh-CN" w:bidi="ar-SA"/>
              </w:rPr>
            </w:pPr>
            <w:r>
              <w:rPr>
                <w:rFonts w:eastAsia="Calibri" w:cs="Times New Roman" w:ascii="Times New Roman" w:hAnsi="Times New Roman"/>
                <w:color w:val="auto"/>
                <w:sz w:val="24"/>
                <w:szCs w:val="24"/>
                <w:lang w:val="ru-RU" w:eastAsia="zh-CN" w:bidi="ar-SA"/>
              </w:rPr>
              <w:t>1 296 201,69 руб. с НДС</w:t>
            </w:r>
          </w:p>
        </w:tc>
      </w:tr>
    </w:tbl>
    <w:p>
      <w:pPr>
        <w:pStyle w:val="Normal"/>
        <w:widowControl w:val="false"/>
        <w:numPr>
          <w:ilvl w:val="0"/>
          <w:numId w:val="0"/>
        </w:numPr>
        <w:suppressAutoHyphens w:val="true"/>
        <w:bidi w:val="0"/>
        <w:spacing w:before="113" w:after="0"/>
        <w:ind w:hanging="0" w:left="0" w:right="0"/>
        <w:jc w:val="both"/>
        <w:rPr>
          <w:b w:val="false"/>
          <w:bCs w:val="false"/>
          <w:i/>
          <w:i/>
          <w:iCs/>
          <w:sz w:val="22"/>
          <w:szCs w:val="22"/>
          <w:highlight w:val="none"/>
          <w:shd w:fill="auto" w:val="clear"/>
        </w:rPr>
      </w:pPr>
      <w:r>
        <w:rPr>
          <w:rFonts w:cs="Times New Roman" w:ascii="Times New Roman" w:hAnsi="Times New Roman"/>
          <w:b w:val="false"/>
          <w:bCs w:val="false"/>
          <w:i/>
          <w:iCs/>
          <w:color w:val="000000"/>
          <w:sz w:val="22"/>
          <w:szCs w:val="22"/>
          <w:shd w:fill="auto" w:val="clear"/>
        </w:rPr>
        <w:t>* Для позиций 1-3 технического задания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Постановление Правительства РФ от 23.12.2024 № 1875.</w:t>
      </w:r>
    </w:p>
    <w:p>
      <w:pPr>
        <w:pStyle w:val="Normal"/>
        <w:widowControl w:val="false"/>
        <w:numPr>
          <w:ilvl w:val="0"/>
          <w:numId w:val="0"/>
        </w:numPr>
        <w:suppressAutoHyphens w:val="true"/>
        <w:bidi w:val="0"/>
        <w:spacing w:before="113" w:after="0"/>
        <w:ind w:hanging="0" w:left="0" w:right="0"/>
        <w:jc w:val="both"/>
        <w:rPr>
          <w:b w:val="false"/>
          <w:bCs w:val="false"/>
          <w:i/>
          <w:i/>
          <w:iCs/>
          <w:sz w:val="22"/>
          <w:szCs w:val="22"/>
          <w:highlight w:val="none"/>
          <w:shd w:fill="auto" w:val="clear"/>
        </w:rPr>
      </w:pPr>
      <w:r>
        <w:rPr>
          <w:rFonts w:cs="Times New Roman" w:ascii="Times New Roman" w:hAnsi="Times New Roman"/>
          <w:b w:val="false"/>
          <w:bCs w:val="false"/>
          <w:i/>
          <w:iCs/>
          <w:color w:val="000000"/>
          <w:sz w:val="22"/>
          <w:szCs w:val="22"/>
          <w:shd w:fill="auto" w:val="clear"/>
        </w:rPr>
        <w:t>В связи с тем, что для подтверждения страны происхождения продукции участником не указан номер реестровой записи из соответствующего реестра либо не предоставлена копия выписки из соответствующего реестра, указанного в постановлении Правительства от 23.12.2024 № 1875, его заявка рассматривается как содержащая предложение о поставке иностранного товара.</w:t>
      </w:r>
    </w:p>
    <w:p>
      <w:pPr>
        <w:pStyle w:val="Normal"/>
        <w:widowControl w:val="false"/>
        <w:numPr>
          <w:ilvl w:val="0"/>
          <w:numId w:val="0"/>
        </w:numPr>
        <w:suppressAutoHyphens w:val="true"/>
        <w:bidi w:val="0"/>
        <w:spacing w:before="113" w:after="0"/>
        <w:ind w:hanging="0" w:left="0" w:right="0"/>
        <w:jc w:val="both"/>
        <w:rPr>
          <w:sz w:val="22"/>
          <w:szCs w:val="22"/>
          <w:highlight w:val="none"/>
          <w:shd w:fill="auto" w:val="clear"/>
        </w:rPr>
      </w:pPr>
      <w:r>
        <w:rPr>
          <w:rFonts w:cs="Times New Roman" w:ascii="Times New Roman" w:hAnsi="Times New Roman"/>
          <w:color w:val="000000"/>
          <w:sz w:val="22"/>
          <w:szCs w:val="22"/>
          <w:shd w:fill="auto" w:val="clear"/>
        </w:rPr>
        <w:t xml:space="preserve">** </w:t>
      </w:r>
      <w:r>
        <w:rPr>
          <w:rFonts w:eastAsia="Calibri" w:cs="Times New Roman" w:ascii="Times New Roman" w:hAnsi="Times New Roman"/>
          <w:b w:val="false"/>
          <w:bCs w:val="false"/>
          <w:i/>
          <w:iCs/>
          <w:color w:val="000000"/>
          <w:kern w:val="0"/>
          <w:sz w:val="22"/>
          <w:szCs w:val="22"/>
          <w:shd w:fill="auto" w:val="clear"/>
          <w:lang w:val="ru-RU" w:eastAsia="zh-CN" w:bidi="ar-SA"/>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pPr>
        <w:pStyle w:val="Normal"/>
        <w:keepLines/>
        <w:widowControl w:val="false"/>
        <w:numPr>
          <w:ilvl w:val="0"/>
          <w:numId w:val="0"/>
        </w:numPr>
        <w:tabs>
          <w:tab w:val="clear" w:pos="708"/>
          <w:tab w:val="left" w:pos="142" w:leader="none"/>
        </w:tabs>
        <w:suppressAutoHyphens w:val="false"/>
        <w:bidi w:val="0"/>
        <w:spacing w:before="113" w:after="119"/>
        <w:ind w:hanging="0" w:left="0" w:right="0"/>
        <w:jc w:val="both"/>
        <w:rPr>
          <w:sz w:val="22"/>
          <w:szCs w:val="22"/>
          <w:highlight w:val="none"/>
          <w:shd w:fill="auto" w:val="clear"/>
        </w:rPr>
      </w:pPr>
      <w:r>
        <w:rPr>
          <w:rFonts w:eastAsia="Calibri" w:cs="Times New Roman" w:ascii="Times New Roman" w:hAnsi="Times New Roman"/>
          <w:b w:val="false"/>
          <w:bCs w:val="false"/>
          <w:i/>
          <w:iCs/>
          <w:color w:val="000000"/>
          <w:sz w:val="22"/>
          <w:szCs w:val="22"/>
          <w:shd w:fill="auto" w:val="clear"/>
          <w:lang w:val="ru-RU" w:eastAsia="zh-CN" w:bidi="ar-SA"/>
        </w:rPr>
        <w:t>*** При оценке и сопоставлении заявок на участие в конкурентной закупке осуществляется снижение поданного участником закупки, предлагающего к поставке товар только российского происхождения либо являющегося российским лицом, ценового предложения на 15 процентов либо увеличение на 15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pPr>
        <w:pStyle w:val="Normal"/>
        <w:widowControl/>
        <w:bidi w:val="0"/>
        <w:spacing w:lineRule="auto" w:line="240" w:before="113" w:after="0"/>
        <w:ind w:hanging="0" w:left="0" w:right="0"/>
        <w:jc w:val="both"/>
        <w:rPr>
          <w:sz w:val="24"/>
          <w:szCs w:val="24"/>
        </w:rPr>
      </w:pPr>
      <w:r>
        <w:rPr>
          <w:rFonts w:cs="Times New Roman" w:ascii="Times New Roman" w:hAnsi="Times New Roman"/>
          <w:sz w:val="24"/>
          <w:szCs w:val="24"/>
        </w:rPr>
        <w:t xml:space="preserve">5. Места (порядковые номера), присвоенные участникам закупки, заявки которых были признаны соответствующими требованиям закупочной документации, начиная с первого (первое место присваивается участнику, который предложил наименьшее ценовое предложение), </w:t>
      </w:r>
      <w:r>
        <w:rPr>
          <w:rFonts w:cs="Times New Roman" w:ascii="Times New Roman" w:hAnsi="Times New Roman"/>
          <w:b/>
          <w:bCs/>
          <w:i/>
          <w:iCs/>
          <w:sz w:val="24"/>
          <w:szCs w:val="24"/>
        </w:rPr>
        <w:t>с учетом п.4 настоящего протокола</w:t>
      </w:r>
      <w:r>
        <w:rPr>
          <w:rFonts w:cs="Times New Roman" w:ascii="Times New Roman" w:hAnsi="Times New Roman"/>
          <w:sz w:val="24"/>
          <w:szCs w:val="24"/>
        </w:rPr>
        <w:t>:</w:t>
      </w:r>
    </w:p>
    <w:tbl>
      <w:tblPr>
        <w:tblW w:w="9097"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1023"/>
        <w:gridCol w:w="1810"/>
        <w:gridCol w:w="2322"/>
        <w:gridCol w:w="3941"/>
      </w:tblGrid>
      <w:tr>
        <w:trPr>
          <w:trHeight w:val="842" w:hRule="atLeast"/>
          <w:cantSplit w:val="true"/>
        </w:trPr>
        <w:tc>
          <w:tcPr>
            <w:tcW w:w="1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2"/>
                <w:szCs w:val="22"/>
              </w:rPr>
            </w:pPr>
            <w:r>
              <w:rPr>
                <w:rFonts w:eastAsia="Calibri" w:cs="Times New Roman" w:ascii="Times New Roman" w:hAnsi="Times New Roman"/>
                <w:b w:val="false"/>
                <w:bCs w:val="false"/>
                <w:sz w:val="22"/>
                <w:szCs w:val="22"/>
              </w:rPr>
              <w:t>Место (порядковый номер</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2"/>
                <w:szCs w:val="22"/>
              </w:rPr>
            </w:pPr>
            <w:r>
              <w:rPr>
                <w:rFonts w:eastAsia="Times New Roman" w:cs="Times New Roman" w:ascii="Times New Roman" w:hAnsi="Times New Roman"/>
                <w:b w:val="false"/>
                <w:bCs w:val="false"/>
                <w:sz w:val="22"/>
                <w:szCs w:val="22"/>
              </w:rPr>
              <w:t>Рег. № заявки на ЭТП</w:t>
            </w:r>
          </w:p>
        </w:tc>
        <w:tc>
          <w:tcPr>
            <w:tcW w:w="23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2"/>
                <w:szCs w:val="22"/>
              </w:rPr>
            </w:pPr>
            <w:r>
              <w:rPr>
                <w:rFonts w:cs="Times New Roman" w:ascii="Times New Roman" w:hAnsi="Times New Roman"/>
                <w:b w:val="false"/>
                <w:bCs w:val="false"/>
                <w:sz w:val="22"/>
                <w:szCs w:val="22"/>
              </w:rPr>
              <w:t>Наименование участника закупки</w:t>
            </w:r>
          </w:p>
        </w:tc>
        <w:tc>
          <w:tcPr>
            <w:tcW w:w="3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2"/>
                <w:szCs w:val="22"/>
              </w:rPr>
            </w:pPr>
            <w:r>
              <w:rPr>
                <w:rFonts w:cs="Times New Roman" w:ascii="Times New Roman" w:hAnsi="Times New Roman"/>
                <w:b w:val="false"/>
                <w:bCs w:val="false"/>
                <w:sz w:val="22"/>
                <w:szCs w:val="22"/>
              </w:rPr>
              <w:t>Сведения о ценовом предложении участника закупки</w:t>
            </w:r>
          </w:p>
        </w:tc>
      </w:tr>
      <w:tr>
        <w:trPr>
          <w:trHeight w:val="842" w:hRule="atLeast"/>
          <w:cantSplit w:val="true"/>
        </w:trPr>
        <w:tc>
          <w:tcPr>
            <w:tcW w:w="1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1</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32615923234-1-1</w:t>
            </w:r>
          </w:p>
        </w:tc>
        <w:tc>
          <w:tcPr>
            <w:tcW w:w="23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"ЛАНТРЕЙД"</w:t>
            </w:r>
          </w:p>
        </w:tc>
        <w:tc>
          <w:tcPr>
            <w:tcW w:w="39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Times New Roman" w:cs="Times New Roman" w:ascii="Times New Roman" w:hAnsi="Times New Roman"/>
                <w:sz w:val="24"/>
                <w:szCs w:val="24"/>
              </w:rPr>
              <w:t>Цена заявки: 1 144 314 (один миллион сто сорок четыре тысячи триста четырнадцать) рублей 86 копеек, включая НДС</w:t>
            </w:r>
          </w:p>
        </w:tc>
      </w:tr>
      <w:tr>
        <w:trPr>
          <w:trHeight w:val="842" w:hRule="atLeast"/>
          <w:cantSplit w:val="true"/>
        </w:trPr>
        <w:tc>
          <w:tcPr>
            <w:tcW w:w="1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2</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32615923234-1-4</w:t>
            </w:r>
          </w:p>
        </w:tc>
        <w:tc>
          <w:tcPr>
            <w:tcW w:w="23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"ЕВРОИНСТАЛЛ"</w:t>
            </w:r>
          </w:p>
        </w:tc>
        <w:tc>
          <w:tcPr>
            <w:tcW w:w="39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Times New Roman" w:cs="Times New Roman" w:ascii="Times New Roman" w:hAnsi="Times New Roman"/>
                <w:sz w:val="24"/>
                <w:szCs w:val="24"/>
              </w:rPr>
              <w:t>Цена заявки: 1 269 931 (один миллион двести шестьдесят девять тысяч девятьсот тридцать один) рубль 40 копеек, включая НДС</w:t>
            </w:r>
          </w:p>
        </w:tc>
      </w:tr>
      <w:tr>
        <w:trPr>
          <w:trHeight w:val="842" w:hRule="atLeast"/>
          <w:cantSplit w:val="true"/>
        </w:trPr>
        <w:tc>
          <w:tcPr>
            <w:tcW w:w="1023"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w:t>
            </w:r>
          </w:p>
        </w:tc>
        <w:tc>
          <w:tcPr>
            <w:tcW w:w="1810"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32615923234-1-2</w:t>
            </w:r>
          </w:p>
        </w:tc>
        <w:tc>
          <w:tcPr>
            <w:tcW w:w="232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"БЭМ"</w:t>
            </w:r>
          </w:p>
        </w:tc>
        <w:tc>
          <w:tcPr>
            <w:tcW w:w="3941"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Times New Roman" w:cs="Times New Roman" w:ascii="Times New Roman" w:hAnsi="Times New Roman"/>
                <w:sz w:val="24"/>
                <w:szCs w:val="24"/>
              </w:rPr>
              <w:t>Цена заявки: 1 280 009 (один миллион двести восемьдесят тысяч девять) рублей 06 копеек, включая НДС</w:t>
            </w:r>
          </w:p>
        </w:tc>
      </w:tr>
      <w:tr>
        <w:trPr>
          <w:trHeight w:val="842" w:hRule="atLeast"/>
          <w:cantSplit w:val="true"/>
        </w:trPr>
        <w:tc>
          <w:tcPr>
            <w:tcW w:w="1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4</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32615923234-1-3</w:t>
            </w:r>
          </w:p>
        </w:tc>
        <w:tc>
          <w:tcPr>
            <w:tcW w:w="23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"ТЕХНОГРАД"</w:t>
            </w:r>
          </w:p>
        </w:tc>
        <w:tc>
          <w:tcPr>
            <w:tcW w:w="39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Times New Roman" w:cs="Times New Roman" w:ascii="Times New Roman" w:hAnsi="Times New Roman"/>
                <w:sz w:val="24"/>
                <w:szCs w:val="24"/>
              </w:rPr>
              <w:t>Цена заявки: 1 200 292 (один миллион двести тысяч двести девяносто два) рубля 60 копеек, включая НДС</w:t>
            </w:r>
          </w:p>
        </w:tc>
      </w:tr>
      <w:tr>
        <w:trPr>
          <w:trHeight w:val="842" w:hRule="atLeast"/>
          <w:cantSplit w:val="true"/>
        </w:trPr>
        <w:tc>
          <w:tcPr>
            <w:tcW w:w="1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5</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32615923234-1-5</w:t>
            </w:r>
          </w:p>
        </w:tc>
        <w:tc>
          <w:tcPr>
            <w:tcW w:w="23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sz w:val="24"/>
                <w:szCs w:val="24"/>
              </w:rPr>
            </w:pPr>
            <w:r>
              <w:rPr>
                <w:rFonts w:cs="Times New Roman" w:ascii="Times New Roman" w:hAnsi="Times New Roman"/>
                <w:sz w:val="24"/>
                <w:szCs w:val="24"/>
              </w:rPr>
              <w:t>ООО ГК "ОМИКОМ"</w:t>
            </w:r>
          </w:p>
        </w:tc>
        <w:tc>
          <w:tcPr>
            <w:tcW w:w="39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sz w:val="24"/>
                <w:szCs w:val="24"/>
              </w:rPr>
            </w:pPr>
            <w:r>
              <w:rPr>
                <w:rFonts w:eastAsia="Times New Roman" w:cs="Times New Roman" w:ascii="Times New Roman" w:hAnsi="Times New Roman"/>
                <w:sz w:val="24"/>
                <w:szCs w:val="24"/>
              </w:rPr>
              <w:t>Цена заявки: 1 296 201 (один миллион двести девяносто шесть тысяч двести один) рубль 69 копеек, включая НДС</w:t>
            </w:r>
          </w:p>
        </w:tc>
      </w:tr>
    </w:tbl>
    <w:p>
      <w:pPr>
        <w:pStyle w:val="Normal"/>
        <w:widowControl/>
        <w:bidi w:val="0"/>
        <w:spacing w:lineRule="auto" w:line="240" w:before="170" w:after="0"/>
        <w:ind w:hanging="0" w:left="0" w:right="0"/>
        <w:jc w:val="both"/>
        <w:rPr>
          <w:sz w:val="24"/>
          <w:szCs w:val="24"/>
        </w:rPr>
      </w:pPr>
      <w:r>
        <w:rPr>
          <w:rFonts w:eastAsia="Times New Roman" w:cs="Times New Roman" w:ascii="Times New Roman" w:hAnsi="Times New Roman"/>
          <w:sz w:val="24"/>
          <w:szCs w:val="24"/>
        </w:rPr>
        <w:t xml:space="preserve">6. По результатам ранжирования заявок на участие в закупке </w:t>
      </w:r>
      <w:r>
        <w:rPr>
          <w:rFonts w:cs="Times New Roman" w:ascii="Times New Roman" w:hAnsi="Times New Roman"/>
          <w:sz w:val="24"/>
          <w:szCs w:val="24"/>
        </w:rPr>
        <w:t xml:space="preserve">закупочной комиссией принято решение признать победителем закупки участника закупки, </w:t>
      </w:r>
      <w:r>
        <w:rPr>
          <w:rFonts w:cs="Times New Roman" w:ascii="Times New Roman" w:hAnsi="Times New Roman"/>
          <w:b/>
          <w:bCs/>
          <w:i w:val="false"/>
          <w:iCs w:val="false"/>
          <w:sz w:val="24"/>
          <w:szCs w:val="24"/>
        </w:rPr>
        <w:t>ООО "ЛАНТРЕЙД"</w:t>
      </w:r>
      <w:r>
        <w:rPr>
          <w:i w:val="false"/>
          <w:iCs w:val="false"/>
          <w:sz w:val="24"/>
          <w:szCs w:val="24"/>
        </w:rPr>
        <w:t xml:space="preserve"> </w:t>
      </w:r>
      <w:r>
        <w:rPr>
          <w:rFonts w:eastAsia="Times New Roman" w:cs="Times New Roman" w:ascii="Times New Roman" w:hAnsi="Times New Roman"/>
          <w:b w:val="false"/>
          <w:bCs w:val="false"/>
          <w:i w:val="false"/>
          <w:iCs w:val="false"/>
          <w:sz w:val="24"/>
          <w:szCs w:val="24"/>
        </w:rPr>
        <w:t>ИНН 2466111775 (660062, Красноярский край, Красноярск г, Телевизорный пер, 9, лит. В10, оф. 8</w:t>
      </w:r>
      <w:r>
        <w:rPr>
          <w:rFonts w:eastAsia="Times New Roman" w:cs="Times New Roman" w:ascii="Times New Roman" w:hAnsi="Times New Roman"/>
          <w:b w:val="false"/>
          <w:bCs w:val="false"/>
          <w:i/>
          <w:sz w:val="24"/>
          <w:szCs w:val="24"/>
        </w:rPr>
        <w:t xml:space="preserve">) </w:t>
      </w:r>
      <w:r>
        <w:rPr>
          <w:rFonts w:cs="Times New Roman" w:ascii="Times New Roman" w:hAnsi="Times New Roman"/>
          <w:sz w:val="24"/>
          <w:szCs w:val="24"/>
        </w:rPr>
        <w:t>с наименьшим ценовым предложением из 1 144 314 (один миллион сто сорок четыре тысячи триста четырнадцать) рублей 86 копеек, включая НДС.</w:t>
      </w:r>
    </w:p>
    <w:p>
      <w:pPr>
        <w:pStyle w:val="Normal"/>
        <w:spacing w:lineRule="auto" w:line="240" w:before="113" w:after="0"/>
        <w:jc w:val="both"/>
        <w:rPr>
          <w:sz w:val="24"/>
          <w:szCs w:val="24"/>
        </w:rPr>
      </w:pPr>
      <w:r>
        <w:rPr>
          <w:rFonts w:eastAsia="Times New Roman" w:cs="Times New Roman" w:ascii="Times New Roman" w:hAnsi="Times New Roman"/>
          <w:sz w:val="24"/>
          <w:szCs w:val="24"/>
        </w:rPr>
        <w:t xml:space="preserve">Результаты голосования членов закупочной комиссии: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«за» – </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u w:val="single"/>
        </w:rPr>
        <w:t>9</w:t>
      </w:r>
      <w:r>
        <w:rPr>
          <w:rFonts w:eastAsia="Times New Roman" w:cs="Times New Roman" w:ascii="Times New Roman" w:hAnsi="Times New Roman"/>
          <w:sz w:val="24"/>
          <w:szCs w:val="24"/>
          <w:u w:val="single"/>
        </w:rPr>
        <w:t>_</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«против»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spacing w:lineRule="auto" w:line="240" w:before="0" w:after="0"/>
        <w:jc w:val="both"/>
        <w:rPr>
          <w:sz w:val="24"/>
          <w:szCs w:val="24"/>
        </w:rPr>
      </w:pPr>
      <w:r>
        <w:rPr>
          <w:rFonts w:eastAsia="Times New Roman" w:cs="Times New Roman" w:ascii="Times New Roman" w:hAnsi="Times New Roman"/>
          <w:sz w:val="24"/>
          <w:szCs w:val="24"/>
        </w:rPr>
        <w:t xml:space="preserve">«воздержался» – </w:t>
      </w:r>
      <w:r>
        <w:rPr>
          <w:rFonts w:eastAsia="Times New Roman" w:cs="Times New Roman" w:ascii="Times New Roman" w:hAnsi="Times New Roman"/>
          <w:sz w:val="24"/>
          <w:szCs w:val="24"/>
          <w:u w:val="single"/>
        </w:rPr>
        <w:t>0</w:t>
      </w:r>
      <w:r>
        <w:rPr>
          <w:rFonts w:eastAsia="Times New Roman" w:cs="Times New Roman" w:ascii="Times New Roman" w:hAnsi="Times New Roman"/>
          <w:sz w:val="24"/>
          <w:szCs w:val="24"/>
        </w:rPr>
        <w:t xml:space="preserve"> голоса</w:t>
      </w:r>
      <w:r>
        <w:rPr>
          <w:rFonts w:eastAsia="Times New Roman" w:cs="Times New Roman" w:ascii="Times New Roman" w:hAnsi="Times New Roman"/>
          <w:b/>
          <w:i/>
          <w:sz w:val="24"/>
          <w:szCs w:val="24"/>
        </w:rPr>
        <w:t>/-ов</w:t>
      </w:r>
      <w:r>
        <w:rPr>
          <w:rFonts w:eastAsia="Times New Roman" w:cs="Times New Roman" w:ascii="Times New Roman" w:hAnsi="Times New Roman"/>
          <w:sz w:val="24"/>
          <w:szCs w:val="24"/>
        </w:rPr>
        <w:t xml:space="preserve">. </w:t>
      </w:r>
    </w:p>
    <w:p>
      <w:pPr>
        <w:pStyle w:val="Normal"/>
        <w:keepNext w:val="true"/>
        <w:keepLines/>
        <w:spacing w:lineRule="auto" w:line="240" w:before="0" w:after="0"/>
        <w:jc w:val="left"/>
        <w:rPr>
          <w:rFonts w:ascii="Times New Roman" w:hAnsi="Times New Roman" w:eastAsia="Times New Roman" w:cs="Times New Roman"/>
          <w:b/>
          <w:sz w:val="24"/>
          <w:szCs w:val="24"/>
        </w:rPr>
      </w:pPr>
      <w:r>
        <w:rPr>
          <w:rFonts w:eastAsia="Times New Roman" w:cs="Times New Roman" w:ascii="Times New Roman" w:hAnsi="Times New Roman"/>
          <w:b/>
          <w:sz w:val="24"/>
          <w:szCs w:val="24"/>
        </w:rPr>
      </w:r>
      <w:r>
        <w:br w:type="page"/>
      </w:r>
    </w:p>
    <w:p>
      <w:pPr>
        <w:pStyle w:val="Normal"/>
        <w:spacing w:lineRule="auto" w:line="240" w:before="0" w:after="0"/>
        <w:jc w:val="left"/>
        <w:rPr>
          <w:sz w:val="22"/>
          <w:szCs w:val="22"/>
        </w:rPr>
      </w:pPr>
      <w:r>
        <w:rPr>
          <w:rFonts w:eastAsia="Times New Roman" w:cs="Times New Roman" w:ascii="Times New Roman" w:hAnsi="Times New Roman"/>
          <w:b/>
          <w:sz w:val="22"/>
          <w:szCs w:val="22"/>
        </w:rPr>
        <w:t>Закупочная комиссия:</w:t>
      </w:r>
    </w:p>
    <w:p>
      <w:pPr>
        <w:pStyle w:val="Normal"/>
        <w:spacing w:lineRule="auto" w:line="240" w:before="0" w:after="0"/>
        <w:ind w:firstLine="709"/>
        <w:jc w:val="left"/>
        <w:rPr>
          <w:sz w:val="22"/>
          <w:szCs w:val="22"/>
        </w:rPr>
      </w:pPr>
      <w:r>
        <w:rPr>
          <w:rFonts w:eastAsia="Times New Roman" w:cs="Times New Roman" w:ascii="Times New Roman" w:hAnsi="Times New Roman"/>
          <w:sz w:val="22"/>
          <w:szCs w:val="22"/>
        </w:rPr>
        <w:t>Член закупочной комиссии, подписавший настоящий протокол, руководствуясь положением о закупочной комиссии (Приложение 4 ЕОСЗ):</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подтверждает объективность принимаемых решений;</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заявляет об отсутствии личной заинтересованности в исходе закупки;</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принимает на себя обязательства:</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не допускать во время проведения закупки предоставления сведений о предложениях участников закупки, содержании экспертных заключений,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закупочной документацией;</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не координировать деятельность участников в рамках закупки иначе, чем это предусмотрено законодательством Российской Федерации, ЕОСЗ и условиями проведения закупки;</w:t>
      </w:r>
    </w:p>
    <w:p>
      <w:pPr>
        <w:pStyle w:val="Normal"/>
        <w:keepLines/>
        <w:spacing w:lineRule="auto" w:line="240" w:before="0" w:after="0"/>
        <w:ind w:firstLine="709"/>
        <w:jc w:val="left"/>
        <w:rPr>
          <w:sz w:val="22"/>
          <w:szCs w:val="22"/>
        </w:rPr>
      </w:pPr>
      <w:r>
        <w:rPr>
          <w:rFonts w:eastAsia="Times New Roman" w:cs="Times New Roman" w:ascii="Times New Roman" w:hAnsi="Times New Roman"/>
          <w:sz w:val="22"/>
          <w:szCs w:val="22"/>
        </w:rPr>
        <w:t>не проводить переговоров с участниками закупки по вопросам, относящимся к проводимой закупке, кроме случаев, прямо предусмотренных условиями проведения закупки.</w:t>
      </w:r>
    </w:p>
    <w:tbl>
      <w:tblPr>
        <w:tblW w:w="4950" w:type="pct"/>
        <w:jc w:val="center"/>
        <w:tblInd w:w="0" w:type="dxa"/>
        <w:tblLayout w:type="fixed"/>
        <w:tblCellMar>
          <w:top w:w="0" w:type="dxa"/>
          <w:left w:w="12" w:type="dxa"/>
          <w:bottom w:w="0" w:type="dxa"/>
          <w:right w:w="12" w:type="dxa"/>
        </w:tblCellMar>
      </w:tblPr>
      <w:tblGrid>
        <w:gridCol w:w="2003"/>
        <w:gridCol w:w="5426"/>
        <w:gridCol w:w="1832"/>
      </w:tblGrid>
      <w:tr>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spacing w:before="0" w:after="0"/>
              <w:jc w:val="center"/>
              <w:rPr>
                <w:sz w:val="24"/>
                <w:szCs w:val="24"/>
              </w:rPr>
            </w:pPr>
            <w:r>
              <w:rPr>
                <w:rFonts w:eastAsia="Times New Roman" w:cs="Times New Roman" w:ascii="Times New Roman" w:hAnsi="Times New Roman"/>
                <w:b/>
                <w:bCs/>
                <w:sz w:val="24"/>
                <w:szCs w:val="24"/>
              </w:rPr>
              <w:t>ФИО</w:t>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spacing w:before="0" w:after="0"/>
              <w:jc w:val="center"/>
              <w:rPr>
                <w:sz w:val="24"/>
                <w:szCs w:val="24"/>
              </w:rPr>
            </w:pPr>
            <w:r>
              <w:rPr>
                <w:rFonts w:eastAsia="Times New Roman" w:cs="Times New Roman" w:ascii="Times New Roman" w:hAnsi="Times New Roman"/>
                <w:b/>
                <w:bCs/>
                <w:sz w:val="24"/>
                <w:szCs w:val="24"/>
              </w:rPr>
              <w:t>Должность</w:t>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spacing w:before="0" w:after="0"/>
              <w:jc w:val="center"/>
              <w:rPr>
                <w:sz w:val="24"/>
                <w:szCs w:val="24"/>
              </w:rPr>
            </w:pPr>
            <w:r>
              <w:rPr>
                <w:rFonts w:eastAsia="Times New Roman" w:cs="Times New Roman" w:ascii="Times New Roman" w:hAnsi="Times New Roman"/>
                <w:b/>
                <w:bCs/>
                <w:sz w:val="24"/>
                <w:szCs w:val="24"/>
              </w:rPr>
              <w:t>Подпись</w:t>
            </w:r>
          </w:p>
        </w:tc>
      </w:tr>
      <w:tr>
        <w:trPr/>
        <w:tc>
          <w:tcPr>
            <w:tcW w:w="9261" w:type="dxa"/>
            <w:gridSpan w:val="3"/>
            <w:tcBorders>
              <w:top w:val="outset" w:sz="2" w:space="0" w:color="C0C0C0"/>
              <w:left w:val="outset" w:sz="2" w:space="0" w:color="C0C0C0"/>
              <w:bottom w:val="outset" w:sz="2" w:space="0" w:color="C0C0C0"/>
              <w:right w:val="outset" w:sz="2" w:space="0" w:color="C0C0C0"/>
            </w:tcBorders>
            <w:vAlign w:val="center"/>
          </w:tcPr>
          <w:p>
            <w:pPr>
              <w:pStyle w:val="Normal"/>
              <w:spacing w:before="0" w:after="0"/>
              <w:rPr>
                <w:sz w:val="24"/>
                <w:szCs w:val="24"/>
              </w:rPr>
            </w:pPr>
            <w:r>
              <w:rPr>
                <w:rFonts w:eastAsia="Times New Roman" w:cs="Times New Roman" w:ascii="Times New Roman" w:hAnsi="Times New Roman"/>
                <w:b/>
                <w:bCs/>
                <w:sz w:val="24"/>
                <w:szCs w:val="24"/>
              </w:rPr>
              <w:t>Председатель закупочной комиссии:</w:t>
            </w:r>
          </w:p>
        </w:tc>
      </w:tr>
      <w:tr>
        <w:trPr>
          <w:trHeight w:val="68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spacing w:lineRule="auto" w:line="240" w:before="0" w:after="0"/>
              <w:rPr>
                <w:sz w:val="24"/>
                <w:szCs w:val="24"/>
              </w:rPr>
            </w:pPr>
            <w:r>
              <w:rPr>
                <w:rFonts w:cs="Times New Roman" w:ascii="Times New Roman" w:hAnsi="Times New Roman"/>
                <w:sz w:val="24"/>
                <w:szCs w:val="24"/>
              </w:rPr>
              <w:t>А.Ю. Марков</w:t>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spacing w:lineRule="auto" w:line="240" w:before="0" w:after="0"/>
              <w:rPr>
                <w:sz w:val="24"/>
                <w:szCs w:val="24"/>
              </w:rPr>
            </w:pPr>
            <w:r>
              <w:rPr>
                <w:rFonts w:cs="Times New Roman" w:ascii="Times New Roman" w:hAnsi="Times New Roman"/>
                <w:sz w:val="24"/>
                <w:szCs w:val="24"/>
              </w:rPr>
              <w:t>Заместитель генерального директора предприятия по материально-техническому снабжению и комплектации оборудования</w:t>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snapToGrid w:val="false"/>
              <w:spacing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9261" w:type="dxa"/>
            <w:gridSpan w:val="3"/>
            <w:tcBorders>
              <w:top w:val="outset" w:sz="2" w:space="0" w:color="C0C0C0"/>
              <w:left w:val="outset" w:sz="2" w:space="0" w:color="C0C0C0"/>
              <w:bottom w:val="outset" w:sz="2" w:space="0" w:color="C0C0C0"/>
              <w:right w:val="outset" w:sz="2" w:space="0" w:color="C0C0C0"/>
            </w:tcBorders>
            <w:vAlign w:val="center"/>
          </w:tcPr>
          <w:p>
            <w:pPr>
              <w:pStyle w:val="Normal"/>
              <w:spacing w:before="0" w:after="0"/>
              <w:rPr>
                <w:sz w:val="24"/>
                <w:szCs w:val="24"/>
              </w:rPr>
            </w:pPr>
            <w:r>
              <w:rPr>
                <w:rFonts w:eastAsia="Times New Roman" w:cs="Times New Roman" w:ascii="Times New Roman" w:hAnsi="Times New Roman"/>
                <w:b/>
                <w:bCs/>
                <w:sz w:val="24"/>
                <w:szCs w:val="24"/>
              </w:rPr>
              <w:t>Члены закупочной комиссии:</w:t>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rHeight w:val="56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widowControl/>
              <w:bidi w:val="0"/>
              <w:spacing w:lineRule="auto" w:line="240" w:before="0" w:after="0"/>
              <w:ind w:hanging="0" w:left="0" w:right="0"/>
              <w:jc w:val="left"/>
              <w:rPr>
                <w:sz w:val="24"/>
                <w:szCs w:val="24"/>
              </w:rPr>
            </w:pPr>
            <w:r>
              <w:rPr>
                <w:sz w:val="24"/>
                <w:szCs w:val="24"/>
              </w:rPr>
            </w:r>
          </w:p>
        </w:tc>
      </w:tr>
      <w:tr>
        <w:trPr/>
        <w:tc>
          <w:tcPr>
            <w:tcW w:w="9261" w:type="dxa"/>
            <w:gridSpan w:val="3"/>
            <w:tcBorders>
              <w:top w:val="outset" w:sz="2" w:space="0" w:color="C0C0C0"/>
              <w:left w:val="outset" w:sz="2" w:space="0" w:color="C0C0C0"/>
              <w:bottom w:val="outset" w:sz="2" w:space="0" w:color="C0C0C0"/>
              <w:right w:val="outset" w:sz="2" w:space="0" w:color="C0C0C0"/>
            </w:tcBorders>
            <w:vAlign w:val="center"/>
          </w:tcPr>
          <w:p>
            <w:pPr>
              <w:pStyle w:val="Normal"/>
              <w:spacing w:before="0" w:after="0"/>
              <w:rPr>
                <w:sz w:val="24"/>
                <w:szCs w:val="24"/>
              </w:rPr>
            </w:pPr>
            <w:r>
              <w:rPr>
                <w:rFonts w:eastAsia="Times New Roman" w:cs="Times New Roman" w:ascii="Times New Roman" w:hAnsi="Times New Roman"/>
                <w:b/>
                <w:bCs/>
                <w:sz w:val="24"/>
                <w:szCs w:val="24"/>
              </w:rPr>
              <w:t>Секретарь закупочной комиссии (</w:t>
            </w:r>
            <w:r>
              <w:rPr>
                <w:rFonts w:eastAsia="Times New Roman" w:cs="Times New Roman" w:ascii="Times New Roman" w:hAnsi="Times New Roman"/>
                <w:b/>
                <w:i/>
                <w:sz w:val="24"/>
                <w:szCs w:val="24"/>
              </w:rPr>
              <w:t>с правом голоса</w:t>
            </w:r>
            <w:r>
              <w:rPr>
                <w:rFonts w:eastAsia="Times New Roman" w:cs="Times New Roman" w:ascii="Times New Roman" w:hAnsi="Times New Roman"/>
                <w:b/>
                <w:bCs/>
                <w:sz w:val="24"/>
                <w:szCs w:val="24"/>
              </w:rPr>
              <w:t>)</w:t>
            </w:r>
          </w:p>
        </w:tc>
      </w:tr>
      <w:tr>
        <w:trPr>
          <w:trHeight w:val="577" w:hRule="atLeast"/>
        </w:trPr>
        <w:tc>
          <w:tcPr>
            <w:tcW w:w="2003" w:type="dxa"/>
            <w:tcBorders>
              <w:top w:val="outset" w:sz="2" w:space="0" w:color="C0C0C0"/>
              <w:left w:val="outset" w:sz="2" w:space="0" w:color="C0C0C0"/>
              <w:bottom w:val="outset" w:sz="2" w:space="0" w:color="C0C0C0"/>
              <w:right w:val="outset" w:sz="2" w:space="0" w:color="C0C0C0"/>
            </w:tcBorders>
            <w:vAlign w:val="center"/>
          </w:tcPr>
          <w:p>
            <w:pPr>
              <w:pStyle w:val="Normal"/>
              <w:widowControl w:val="false"/>
              <w:spacing w:lineRule="auto" w:line="240" w:before="0" w:after="0"/>
              <w:rPr>
                <w:sz w:val="24"/>
                <w:szCs w:val="24"/>
              </w:rPr>
            </w:pPr>
            <w:r>
              <w:rPr>
                <w:rFonts w:cs="Times New Roman" w:ascii="Times New Roman" w:hAnsi="Times New Roman"/>
                <w:sz w:val="24"/>
                <w:szCs w:val="24"/>
              </w:rPr>
              <w:t>А.Л. Лебедева</w:t>
            </w:r>
          </w:p>
        </w:tc>
        <w:tc>
          <w:tcPr>
            <w:tcW w:w="5426" w:type="dxa"/>
            <w:tcBorders>
              <w:top w:val="outset" w:sz="2" w:space="0" w:color="C0C0C0"/>
              <w:left w:val="outset" w:sz="2" w:space="0" w:color="C0C0C0"/>
              <w:bottom w:val="outset" w:sz="2" w:space="0" w:color="C0C0C0"/>
              <w:right w:val="outset" w:sz="2" w:space="0" w:color="C0C0C0"/>
            </w:tcBorders>
            <w:vAlign w:val="center"/>
          </w:tcPr>
          <w:p>
            <w:pPr>
              <w:pStyle w:val="Normal"/>
              <w:widowControl w:val="false"/>
              <w:spacing w:lineRule="auto" w:line="240" w:before="0" w:after="0"/>
              <w:jc w:val="both"/>
              <w:rPr>
                <w:sz w:val="24"/>
                <w:szCs w:val="24"/>
              </w:rPr>
            </w:pPr>
            <w:r>
              <w:rPr>
                <w:rFonts w:cs="Times New Roman" w:ascii="Times New Roman" w:hAnsi="Times New Roman"/>
                <w:sz w:val="24"/>
                <w:szCs w:val="24"/>
              </w:rPr>
              <w:t>Эксперт по закупкам группы сопровождения закупочных процедур отдела закупок (собственные и внебюджетные средства)</w:t>
            </w:r>
          </w:p>
        </w:tc>
        <w:tc>
          <w:tcPr>
            <w:tcW w:w="1832" w:type="dxa"/>
            <w:tcBorders>
              <w:top w:val="outset" w:sz="2" w:space="0" w:color="C0C0C0"/>
              <w:left w:val="outset" w:sz="2" w:space="0" w:color="C0C0C0"/>
              <w:bottom w:val="outset" w:sz="2" w:space="0" w:color="C0C0C0"/>
              <w:right w:val="outset" w:sz="2" w:space="0" w:color="C0C0C0"/>
            </w:tcBorders>
            <w:vAlign w:val="center"/>
          </w:tcPr>
          <w:p>
            <w:pPr>
              <w:pStyle w:val="Normal"/>
              <w:snapToGrid w:val="false"/>
              <w:spacing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p>
      <w:pPr>
        <w:pStyle w:val="Normal"/>
        <w:spacing w:before="120" w:after="0"/>
        <w:rPr>
          <w:sz w:val="24"/>
          <w:szCs w:val="24"/>
        </w:rPr>
      </w:pPr>
      <w:r>
        <w:rPr>
          <w:rFonts w:cs="Times New Roman" w:ascii="Times New Roman" w:hAnsi="Times New Roman"/>
          <w:sz w:val="24"/>
          <w:szCs w:val="24"/>
        </w:rPr>
        <w:t>Юрисконсульт ОЗ _________________Н.В. Смирнова</w:t>
      </w:r>
    </w:p>
    <w:p>
      <w:pPr>
        <w:pStyle w:val="Normal"/>
        <w:spacing w:before="120" w:after="0"/>
        <w:rPr>
          <w:sz w:val="24"/>
          <w:szCs w:val="24"/>
        </w:rPr>
      </w:pPr>
      <w:r>
        <w:rPr>
          <w:rFonts w:cs="Times New Roman" w:ascii="Times New Roman" w:hAnsi="Times New Roman"/>
          <w:sz w:val="24"/>
          <w:szCs w:val="24"/>
        </w:rPr>
        <w:t>Специалист ОЗ ___________________ М.М. Хмелевская</w:t>
      </w:r>
    </w:p>
    <w:sectPr>
      <w:footerReference w:type="even" r:id="rId2"/>
      <w:footerReference w:type="default" r:id="rId3"/>
      <w:footerReference w:type="first" r:id="rId4"/>
      <w:type w:val="nextPage"/>
      <w:pgSz w:w="11906" w:h="16838"/>
      <w:pgMar w:left="1701" w:right="850" w:gutter="0" w:header="0" w:top="723" w:footer="405" w:bottom="1265"/>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PT Astra Serif">
    <w:charset w:val="01"/>
    <w:family w:val="roman"/>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jc w:val="center"/>
      <w:rPr>
        <w:rFonts w:ascii="Times New Roman" w:hAnsi="Times New Roman" w:eastAsia="Times New Roman" w:cs="Times New Roman"/>
        <w:sz w:val="18"/>
        <w:szCs w:val="18"/>
      </w:rPr>
    </w:pPr>
    <w:r>
      <w:rPr>
        <w:rFonts w:eastAsia="Times New Roman" w:cs="Times New Roman" w:ascii="Times New Roman" w:hAnsi="Times New Roman"/>
        <w:sz w:val="18"/>
        <w:szCs w:val="18"/>
      </w:rPr>
      <w:t>ПРОТОКОЛ № 32615923234</w:t>
    </w:r>
  </w:p>
  <w:p>
    <w:pPr>
      <w:pStyle w:val="Normal"/>
      <w:spacing w:lineRule="auto" w:line="240" w:before="0" w:after="0"/>
      <w:jc w:val="center"/>
      <w:rPr>
        <w:rFonts w:ascii="Times New Roman" w:hAnsi="Times New Roman" w:eastAsia="Times New Roman" w:cs="Times New Roman"/>
        <w:sz w:val="18"/>
        <w:szCs w:val="18"/>
      </w:rPr>
    </w:pPr>
    <w:r>
      <w:rPr>
        <w:rFonts w:eastAsia="Times New Roman" w:cs="Times New Roman" w:ascii="Times New Roman" w:hAnsi="Times New Roman"/>
        <w:sz w:val="18"/>
        <w:szCs w:val="18"/>
      </w:rPr>
      <w:t>заседания закупочной комиссии по подведению итогов закупки на право заключения договора на поставку телефонных кабелей и проводов связи</w:t>
    </w:r>
  </w:p>
  <w:p>
    <w:pPr>
      <w:pStyle w:val="Normal"/>
      <w:spacing w:lineRule="auto" w:line="240" w:before="0" w:after="0"/>
      <w:jc w:val="center"/>
      <w:rPr>
        <w:rFonts w:ascii="Times New Roman" w:hAnsi="Times New Roman" w:eastAsia="Times New Roman" w:cs="Times New Roman"/>
        <w:sz w:val="18"/>
        <w:szCs w:val="18"/>
      </w:rPr>
    </w:pPr>
    <w:r>
      <w:rPr>
        <w:rFonts w:eastAsia="Times New Roman" w:cs="Times New Roman" w:ascii="Times New Roman" w:hAnsi="Times New Roman"/>
        <w:sz w:val="18"/>
        <w:szCs w:val="18"/>
      </w:rPr>
      <w:t xml:space="preserve">Страница </w:t>
    </w:r>
    <w:r>
      <w:rPr>
        <w:rFonts w:eastAsia="Times New Roman" w:cs="Times New Roman" w:ascii="Times New Roman" w:hAnsi="Times New Roman"/>
        <w:sz w:val="18"/>
        <w:szCs w:val="18"/>
      </w:rPr>
      <w:fldChar w:fldCharType="begin"/>
    </w:r>
    <w:r>
      <w:rPr>
        <w:sz w:val="18"/>
        <w:szCs w:val="18"/>
        <w:rFonts w:eastAsia="Times New Roman" w:cs="Times New Roman" w:ascii="Times New Roman" w:hAnsi="Times New Roman"/>
      </w:rPr>
      <w:instrText xml:space="preserve"> PAGE </w:instrText>
    </w:r>
    <w:r>
      <w:rPr>
        <w:sz w:val="18"/>
        <w:szCs w:val="18"/>
        <w:rFonts w:eastAsia="Times New Roman" w:cs="Times New Roman" w:ascii="Times New Roman" w:hAnsi="Times New Roman"/>
      </w:rPr>
      <w:fldChar w:fldCharType="separate"/>
    </w:r>
    <w:r>
      <w:rPr>
        <w:sz w:val="18"/>
        <w:szCs w:val="18"/>
        <w:rFonts w:eastAsia="Times New Roman" w:cs="Times New Roman" w:ascii="Times New Roman" w:hAnsi="Times New Roman"/>
      </w:rPr>
      <w:t>6</w:t>
    </w:r>
    <w:r>
      <w:rPr>
        <w:sz w:val="18"/>
        <w:szCs w:val="18"/>
        <w:rFonts w:eastAsia="Times New Roman" w:cs="Times New Roman" w:ascii="Times New Roman" w:hAnsi="Times New Roman"/>
      </w:rPr>
      <w:fldChar w:fldCharType="end"/>
    </w:r>
    <w:r>
      <w:rPr>
        <w:rFonts w:eastAsia="Times New Roman" w:cs="Times New Roman" w:ascii="Times New Roman" w:hAnsi="Times New Roman"/>
        <w:sz w:val="18"/>
        <w:szCs w:val="18"/>
      </w:rPr>
      <w:t xml:space="preserve"> из </w:t>
    </w:r>
    <w:r>
      <w:rPr>
        <w:rFonts w:eastAsia="Times New Roman" w:cs="Times New Roman" w:ascii="Times New Roman" w:hAnsi="Times New Roman"/>
        <w:sz w:val="18"/>
        <w:szCs w:val="18"/>
      </w:rPr>
      <w:fldChar w:fldCharType="begin"/>
    </w:r>
    <w:r>
      <w:rPr>
        <w:sz w:val="18"/>
        <w:szCs w:val="18"/>
        <w:rFonts w:eastAsia="Times New Roman" w:cs="Times New Roman" w:ascii="Times New Roman" w:hAnsi="Times New Roman"/>
      </w:rPr>
      <w:instrText xml:space="preserve"> NUMPAGES </w:instrText>
    </w:r>
    <w:r>
      <w:rPr>
        <w:sz w:val="18"/>
        <w:szCs w:val="18"/>
        <w:rFonts w:eastAsia="Times New Roman" w:cs="Times New Roman" w:ascii="Times New Roman" w:hAnsi="Times New Roman"/>
      </w:rPr>
      <w:fldChar w:fldCharType="separate"/>
    </w:r>
    <w:r>
      <w:rPr>
        <w:sz w:val="18"/>
        <w:szCs w:val="18"/>
        <w:rFonts w:eastAsia="Times New Roman" w:cs="Times New Roman" w:ascii="Times New Roman" w:hAnsi="Times New Roman"/>
      </w:rPr>
      <w:t>6</w:t>
    </w:r>
    <w:r>
      <w:rPr>
        <w:sz w:val="18"/>
        <w:szCs w:val="18"/>
        <w:rFonts w:eastAsia="Times New Roman" w:cs="Times New Roman" w:ascii="Times New Roman" w:hAnsi="Times New Roman"/>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709"/>
        </w:tabs>
        <w:ind w:left="709" w:hanging="709"/>
      </w:pPr>
      <w:rPr>
        <w:i w:val="false"/>
        <w:b w:val="false"/>
      </w:rPr>
    </w:lvl>
    <w:lvl w:ilvl="1">
      <w:start w:val="1"/>
      <w:pStyle w:val="Heading2"/>
      <w:numFmt w:val="decimal"/>
      <w:lvlText w:val="%1.%2"/>
      <w:lvlJc w:val="left"/>
      <w:pPr>
        <w:tabs>
          <w:tab w:val="num" w:pos="993"/>
        </w:tabs>
        <w:ind w:left="993" w:hanging="709"/>
      </w:pPr>
      <w:rPr>
        <w:i w:val="false"/>
        <w:b w:val="false"/>
      </w:rPr>
    </w:lvl>
    <w:lvl w:ilvl="2">
      <w:start w:val="1"/>
      <w:pStyle w:val="Heading3"/>
      <w:numFmt w:val="decimal"/>
      <w:lvlText w:val="%1.%2.%3"/>
      <w:lvlJc w:val="left"/>
      <w:pPr>
        <w:tabs>
          <w:tab w:val="num" w:pos="1559"/>
        </w:tabs>
        <w:ind w:left="1559" w:hanging="850"/>
      </w:pPr>
      <w:rPr>
        <w:i w:val="false"/>
        <w:b w:val="false"/>
      </w:rPr>
    </w:lvl>
    <w:lvl w:ilvl="3">
      <w:start w:val="1"/>
      <w:pStyle w:val="Heading4"/>
      <w:numFmt w:val="upperLetter"/>
      <w:lvlText w:val="(%4)"/>
      <w:lvlJc w:val="left"/>
      <w:pPr>
        <w:tabs>
          <w:tab w:val="num" w:pos="2268"/>
        </w:tabs>
        <w:ind w:left="2268" w:hanging="709"/>
      </w:pPr>
      <w:rPr>
        <w:i w:val="false"/>
        <w:b w:val="false"/>
      </w:rPr>
    </w:lvl>
    <w:lvl w:ilvl="4">
      <w:start w:val="1"/>
      <w:pStyle w:val="Heading5"/>
      <w:numFmt w:val="decimal"/>
      <w:lvlText w:val="(%5)"/>
      <w:lvlJc w:val="left"/>
      <w:pPr>
        <w:tabs>
          <w:tab w:val="num" w:pos="2977"/>
        </w:tabs>
        <w:ind w:left="2977" w:hanging="709"/>
      </w:pPr>
      <w:rPr>
        <w:i w:val="false"/>
        <w:b w:val="false"/>
      </w:rPr>
    </w:lvl>
    <w:lvl w:ilvl="5">
      <w:start w:val="1"/>
      <w:pStyle w:val="Heading6"/>
      <w:numFmt w:val="lowerLetter"/>
      <w:lvlText w:val="(%6)"/>
      <w:lvlJc w:val="left"/>
      <w:pPr>
        <w:tabs>
          <w:tab w:val="num" w:pos="3686"/>
        </w:tabs>
        <w:ind w:left="3686" w:hanging="709"/>
      </w:pPr>
      <w:rPr>
        <w:i w:val="false"/>
        <w:b w:val="false"/>
      </w:rPr>
    </w:lvl>
    <w:lvl w:ilvl="6">
      <w:start w:val="1"/>
      <w:pStyle w:val="Heading7"/>
      <w:numFmt w:val="lowerRoman"/>
      <w:lvlText w:val="(%7)"/>
      <w:lvlJc w:val="left"/>
      <w:pPr>
        <w:tabs>
          <w:tab w:val="num" w:pos="4394"/>
        </w:tabs>
        <w:ind w:left="4394" w:hanging="708"/>
      </w:pPr>
      <w:rPr>
        <w:i w:val="false"/>
        <w:b w:val="false"/>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bering>
</file>

<file path=word/settings.xml><?xml version="1.0" encoding="utf-8"?>
<w:settings xmlns:w="http://schemas.openxmlformats.org/wordprocessingml/2006/main">
  <w:zoom w:percent="14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BodyText"/>
    <w:next w:val="Normal"/>
    <w:link w:val="1"/>
    <w:qFormat/>
    <w:rsid w:val="00c3188d"/>
    <w:pPr>
      <w:keepNext w:val="true"/>
      <w:numPr>
        <w:ilvl w:val="0"/>
        <w:numId w:val="1"/>
      </w:numPr>
      <w:tabs>
        <w:tab w:val="clear" w:pos="708"/>
        <w:tab w:val="left" w:pos="1559" w:leader="none"/>
        <w:tab w:val="left" w:pos="2268" w:leader="none"/>
        <w:tab w:val="left" w:pos="2977" w:leader="none"/>
        <w:tab w:val="left" w:pos="3686" w:leader="none"/>
        <w:tab w:val="left" w:pos="4394" w:leader="none"/>
        <w:tab w:val="right" w:pos="8789" w:leader="none"/>
      </w:tabs>
      <w:spacing w:lineRule="auto" w:line="240" w:before="200" w:after="100"/>
      <w:outlineLvl w:val="0"/>
    </w:pPr>
    <w:rPr>
      <w:rFonts w:ascii="Arial" w:hAnsi="Arial" w:eastAsia="Batang" w:cs="Times New Roman"/>
      <w:b/>
      <w:caps/>
      <w:sz w:val="20"/>
      <w:szCs w:val="20"/>
      <w:lang w:val="x-none" w:eastAsia="x-none"/>
    </w:rPr>
  </w:style>
  <w:style w:type="paragraph" w:styleId="Heading2">
    <w:name w:val="heading 2"/>
    <w:basedOn w:val="BodyText"/>
    <w:next w:val="BodyText2"/>
    <w:link w:val="2"/>
    <w:qFormat/>
    <w:rsid w:val="00c3188d"/>
    <w:pPr>
      <w:keepNext w:val="true"/>
      <w:numPr>
        <w:ilvl w:val="1"/>
        <w:numId w:val="1"/>
      </w:numPr>
      <w:tabs>
        <w:tab w:val="clear" w:pos="708"/>
        <w:tab w:val="left" w:pos="1559" w:leader="none"/>
        <w:tab w:val="left" w:pos="2268" w:leader="none"/>
        <w:tab w:val="left" w:pos="2977" w:leader="none"/>
        <w:tab w:val="left" w:pos="3686" w:leader="none"/>
        <w:tab w:val="left" w:pos="4394" w:leader="none"/>
        <w:tab w:val="right" w:pos="8789" w:leader="none"/>
      </w:tabs>
      <w:spacing w:lineRule="auto" w:line="240" w:before="200" w:after="100"/>
      <w:outlineLvl w:val="1"/>
    </w:pPr>
    <w:rPr>
      <w:rFonts w:ascii="Arial" w:hAnsi="Arial" w:eastAsia="Batang" w:cs="Times New Roman"/>
      <w:b/>
      <w:sz w:val="20"/>
      <w:szCs w:val="20"/>
      <w:lang w:val="x-none" w:eastAsia="x-none"/>
    </w:rPr>
  </w:style>
  <w:style w:type="paragraph" w:styleId="Heading3">
    <w:name w:val="heading 3"/>
    <w:basedOn w:val="BodyText"/>
    <w:next w:val="BodyText3"/>
    <w:link w:val="3"/>
    <w:uiPriority w:val="99"/>
    <w:qFormat/>
    <w:rsid w:val="00c3188d"/>
    <w:pPr>
      <w:keepNext w:val="true"/>
      <w:numPr>
        <w:ilvl w:val="2"/>
        <w:numId w:val="1"/>
      </w:numPr>
      <w:tabs>
        <w:tab w:val="clear" w:pos="708"/>
        <w:tab w:val="left" w:pos="2268" w:leader="none"/>
        <w:tab w:val="left" w:pos="2977" w:leader="none"/>
        <w:tab w:val="left" w:pos="3686" w:leader="none"/>
        <w:tab w:val="left" w:pos="4394" w:leader="none"/>
        <w:tab w:val="right" w:pos="8789" w:leader="none"/>
      </w:tabs>
      <w:spacing w:lineRule="auto" w:line="240" w:before="200" w:after="100"/>
      <w:outlineLvl w:val="2"/>
    </w:pPr>
    <w:rPr>
      <w:rFonts w:ascii="Arial" w:hAnsi="Arial" w:eastAsia="Batang" w:cs="Times New Roman"/>
      <w:b/>
      <w:sz w:val="20"/>
      <w:szCs w:val="20"/>
      <w:lang w:val="en-GB" w:eastAsia="en-GB"/>
    </w:rPr>
  </w:style>
  <w:style w:type="paragraph" w:styleId="Heading4">
    <w:name w:val="heading 4"/>
    <w:basedOn w:val="BodyText"/>
    <w:next w:val="Normal"/>
    <w:link w:val="4"/>
    <w:qFormat/>
    <w:rsid w:val="00c3188d"/>
    <w:pPr>
      <w:keepNext w:val="true"/>
      <w:numPr>
        <w:ilvl w:val="3"/>
        <w:numId w:val="1"/>
      </w:numPr>
      <w:tabs>
        <w:tab w:val="clear" w:pos="708"/>
        <w:tab w:val="left" w:pos="2977" w:leader="none"/>
        <w:tab w:val="left" w:pos="3686" w:leader="none"/>
        <w:tab w:val="left" w:pos="4394" w:leader="none"/>
        <w:tab w:val="right" w:pos="8789" w:leader="none"/>
      </w:tabs>
      <w:spacing w:lineRule="auto" w:line="240" w:before="200" w:after="100"/>
      <w:outlineLvl w:val="3"/>
    </w:pPr>
    <w:rPr>
      <w:rFonts w:ascii="Arial" w:hAnsi="Arial" w:eastAsia="Batang" w:cs="Times New Roman"/>
      <w:b/>
      <w:sz w:val="20"/>
      <w:szCs w:val="20"/>
      <w:lang w:val="en-GB" w:eastAsia="en-GB"/>
    </w:rPr>
  </w:style>
  <w:style w:type="paragraph" w:styleId="Heading5">
    <w:name w:val="heading 5"/>
    <w:basedOn w:val="BodyText"/>
    <w:next w:val="Normal"/>
    <w:link w:val="5"/>
    <w:qFormat/>
    <w:rsid w:val="00c3188d"/>
    <w:pPr>
      <w:keepNext w:val="true"/>
      <w:numPr>
        <w:ilvl w:val="4"/>
        <w:numId w:val="1"/>
      </w:numPr>
      <w:tabs>
        <w:tab w:val="clear" w:pos="708"/>
        <w:tab w:val="left" w:pos="4394" w:leader="none"/>
        <w:tab w:val="right" w:pos="8789" w:leader="none"/>
      </w:tabs>
      <w:spacing w:lineRule="auto" w:line="240" w:before="200" w:after="100"/>
      <w:outlineLvl w:val="4"/>
    </w:pPr>
    <w:rPr>
      <w:rFonts w:ascii="Arial" w:hAnsi="Arial" w:eastAsia="Batang" w:cs="Times New Roman"/>
      <w:b/>
      <w:sz w:val="20"/>
      <w:szCs w:val="20"/>
      <w:lang w:val="en-GB" w:eastAsia="en-GB"/>
    </w:rPr>
  </w:style>
  <w:style w:type="paragraph" w:styleId="Heading6">
    <w:name w:val="heading 6"/>
    <w:basedOn w:val="BodyText"/>
    <w:next w:val="Normal"/>
    <w:link w:val="6"/>
    <w:qFormat/>
    <w:rsid w:val="00c3188d"/>
    <w:pPr>
      <w:keepNext w:val="true"/>
      <w:numPr>
        <w:ilvl w:val="5"/>
        <w:numId w:val="1"/>
      </w:numPr>
      <w:tabs>
        <w:tab w:val="clear" w:pos="708"/>
        <w:tab w:val="left" w:pos="4394" w:leader="none"/>
        <w:tab w:val="right" w:pos="8789" w:leader="none"/>
      </w:tabs>
      <w:spacing w:lineRule="auto" w:line="240" w:before="200" w:after="100"/>
      <w:outlineLvl w:val="5"/>
    </w:pPr>
    <w:rPr>
      <w:rFonts w:ascii="Arial" w:hAnsi="Arial" w:eastAsia="Batang" w:cs="Times New Roman"/>
      <w:b/>
      <w:sz w:val="20"/>
      <w:szCs w:val="20"/>
      <w:lang w:val="en-GB" w:eastAsia="en-GB"/>
    </w:rPr>
  </w:style>
  <w:style w:type="paragraph" w:styleId="Heading7">
    <w:name w:val="heading 7"/>
    <w:basedOn w:val="BodyText"/>
    <w:next w:val="Normal"/>
    <w:link w:val="7"/>
    <w:qFormat/>
    <w:rsid w:val="00c3188d"/>
    <w:pPr>
      <w:keepNext w:val="true"/>
      <w:numPr>
        <w:ilvl w:val="6"/>
        <w:numId w:val="1"/>
      </w:numPr>
      <w:tabs>
        <w:tab w:val="clear" w:pos="708"/>
        <w:tab w:val="right" w:pos="8789" w:leader="none"/>
      </w:tabs>
      <w:spacing w:lineRule="auto" w:line="240" w:before="200" w:after="100"/>
      <w:ind w:hanging="709" w:left="4395"/>
      <w:outlineLvl w:val="6"/>
    </w:pPr>
    <w:rPr>
      <w:rFonts w:ascii="Arial" w:hAnsi="Arial" w:eastAsia="Batang" w:cs="Times New Roman"/>
      <w:b/>
      <w:sz w:val="20"/>
      <w:szCs w:val="20"/>
      <w:lang w:val="en-GB" w:eastAsia="en-GB"/>
    </w:rPr>
  </w:style>
  <w:style w:type="character" w:styleId="DefaultParagraphFont" w:default="1">
    <w:name w:val="Default Paragraph Font"/>
    <w:uiPriority w:val="1"/>
    <w:semiHidden/>
    <w:unhideWhenUsed/>
    <w:qFormat/>
    <w:rPr/>
  </w:style>
  <w:style w:type="character" w:styleId="Style7" w:customStyle="1">
    <w:name w:val="Верхний колонтитул Знак"/>
    <w:basedOn w:val="DefaultParagraphFont"/>
    <w:uiPriority w:val="99"/>
    <w:qFormat/>
    <w:rsid w:val="00135155"/>
    <w:rPr/>
  </w:style>
  <w:style w:type="character" w:styleId="Style8" w:customStyle="1">
    <w:name w:val="Нижний колонтитул Знак"/>
    <w:basedOn w:val="DefaultParagraphFont"/>
    <w:uiPriority w:val="99"/>
    <w:qFormat/>
    <w:rsid w:val="00135155"/>
    <w:rPr/>
  </w:style>
  <w:style w:type="character" w:styleId="Hyperlink">
    <w:name w:val="Hyperlink"/>
    <w:basedOn w:val="DefaultParagraphFont"/>
    <w:uiPriority w:val="99"/>
    <w:unhideWhenUsed/>
    <w:rsid w:val="00fc0da6"/>
    <w:rPr>
      <w:color w:themeColor="hyperlink" w:val="0563C1"/>
      <w:u w:val="single"/>
    </w:rPr>
  </w:style>
  <w:style w:type="character" w:styleId="Style9" w:customStyle="1">
    <w:name w:val="Абзац списка Знак"/>
    <w:link w:val="ListParagraph"/>
    <w:uiPriority w:val="34"/>
    <w:qFormat/>
    <w:locked/>
    <w:rsid w:val="00391cb4"/>
    <w:rPr/>
  </w:style>
  <w:style w:type="character" w:styleId="1" w:customStyle="1">
    <w:name w:val="Заголовок 1 Знак"/>
    <w:basedOn w:val="DefaultParagraphFont"/>
    <w:qFormat/>
    <w:rsid w:val="00c3188d"/>
    <w:rPr>
      <w:rFonts w:ascii="Arial" w:hAnsi="Arial" w:eastAsia="Batang" w:cs="Times New Roman"/>
      <w:b/>
      <w:caps/>
      <w:sz w:val="20"/>
      <w:szCs w:val="20"/>
      <w:lang w:val="x-none" w:eastAsia="x-none"/>
    </w:rPr>
  </w:style>
  <w:style w:type="character" w:styleId="2" w:customStyle="1">
    <w:name w:val="Заголовок 2 Знак"/>
    <w:basedOn w:val="DefaultParagraphFont"/>
    <w:qFormat/>
    <w:rsid w:val="00c3188d"/>
    <w:rPr>
      <w:rFonts w:ascii="Arial" w:hAnsi="Arial" w:eastAsia="Batang" w:cs="Times New Roman"/>
      <w:b/>
      <w:sz w:val="20"/>
      <w:szCs w:val="20"/>
      <w:lang w:val="x-none" w:eastAsia="x-none"/>
    </w:rPr>
  </w:style>
  <w:style w:type="character" w:styleId="3" w:customStyle="1">
    <w:name w:val="Заголовок 3 Знак"/>
    <w:basedOn w:val="DefaultParagraphFont"/>
    <w:uiPriority w:val="99"/>
    <w:qFormat/>
    <w:rsid w:val="00c3188d"/>
    <w:rPr>
      <w:rFonts w:ascii="Arial" w:hAnsi="Arial" w:eastAsia="Batang" w:cs="Times New Roman"/>
      <w:b/>
      <w:sz w:val="20"/>
      <w:szCs w:val="20"/>
      <w:lang w:val="en-GB" w:eastAsia="en-GB"/>
    </w:rPr>
  </w:style>
  <w:style w:type="character" w:styleId="4" w:customStyle="1">
    <w:name w:val="Заголовок 4 Знак"/>
    <w:basedOn w:val="DefaultParagraphFont"/>
    <w:qFormat/>
    <w:rsid w:val="00c3188d"/>
    <w:rPr>
      <w:rFonts w:ascii="Arial" w:hAnsi="Arial" w:eastAsia="Batang" w:cs="Times New Roman"/>
      <w:b/>
      <w:sz w:val="20"/>
      <w:szCs w:val="20"/>
      <w:lang w:val="en-GB" w:eastAsia="en-GB"/>
    </w:rPr>
  </w:style>
  <w:style w:type="character" w:styleId="5" w:customStyle="1">
    <w:name w:val="Заголовок 5 Знак"/>
    <w:basedOn w:val="DefaultParagraphFont"/>
    <w:qFormat/>
    <w:rsid w:val="00c3188d"/>
    <w:rPr>
      <w:rFonts w:ascii="Arial" w:hAnsi="Arial" w:eastAsia="Batang" w:cs="Times New Roman"/>
      <w:b/>
      <w:sz w:val="20"/>
      <w:szCs w:val="20"/>
      <w:lang w:val="en-GB" w:eastAsia="en-GB"/>
    </w:rPr>
  </w:style>
  <w:style w:type="character" w:styleId="6" w:customStyle="1">
    <w:name w:val="Заголовок 6 Знак"/>
    <w:basedOn w:val="DefaultParagraphFont"/>
    <w:qFormat/>
    <w:rsid w:val="00c3188d"/>
    <w:rPr>
      <w:rFonts w:ascii="Arial" w:hAnsi="Arial" w:eastAsia="Batang" w:cs="Times New Roman"/>
      <w:b/>
      <w:sz w:val="20"/>
      <w:szCs w:val="20"/>
      <w:lang w:val="en-GB" w:eastAsia="en-GB"/>
    </w:rPr>
  </w:style>
  <w:style w:type="character" w:styleId="7" w:customStyle="1">
    <w:name w:val="Заголовок 7 Знак"/>
    <w:basedOn w:val="DefaultParagraphFont"/>
    <w:qFormat/>
    <w:rsid w:val="00c3188d"/>
    <w:rPr>
      <w:rFonts w:ascii="Arial" w:hAnsi="Arial" w:eastAsia="Batang" w:cs="Times New Roman"/>
      <w:b/>
      <w:sz w:val="20"/>
      <w:szCs w:val="20"/>
      <w:lang w:val="en-GB" w:eastAsia="en-GB"/>
    </w:rPr>
  </w:style>
  <w:style w:type="character" w:styleId="Style10" w:customStyle="1">
    <w:name w:val="Основной текст Знак"/>
    <w:basedOn w:val="DefaultParagraphFont"/>
    <w:uiPriority w:val="99"/>
    <w:semiHidden/>
    <w:qFormat/>
    <w:rsid w:val="00c3188d"/>
    <w:rPr/>
  </w:style>
  <w:style w:type="character" w:styleId="21" w:customStyle="1">
    <w:name w:val="Основной текст 2 Знак"/>
    <w:basedOn w:val="DefaultParagraphFont"/>
    <w:link w:val="BodyText2"/>
    <w:uiPriority w:val="99"/>
    <w:semiHidden/>
    <w:qFormat/>
    <w:rsid w:val="00c3188d"/>
    <w:rPr/>
  </w:style>
  <w:style w:type="character" w:styleId="31" w:customStyle="1">
    <w:name w:val="Основной текст 3 Знак"/>
    <w:basedOn w:val="DefaultParagraphFont"/>
    <w:link w:val="BodyText3"/>
    <w:uiPriority w:val="99"/>
    <w:semiHidden/>
    <w:qFormat/>
    <w:rsid w:val="00c3188d"/>
    <w:rPr>
      <w:sz w:val="16"/>
      <w:szCs w:val="16"/>
    </w:rPr>
  </w:style>
  <w:style w:type="paragraph" w:styleId="Style1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0"/>
    <w:uiPriority w:val="99"/>
    <w:semiHidden/>
    <w:unhideWhenUsed/>
    <w:rsid w:val="00c3188d"/>
    <w:pPr>
      <w:spacing w:before="0" w:after="12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2">
    <w:name w:val="Указатель"/>
    <w:basedOn w:val="Normal"/>
    <w:qFormat/>
    <w:pPr>
      <w:suppressLineNumbers/>
    </w:pPr>
    <w:rPr>
      <w:rFonts w:ascii="PT Astra Serif" w:hAnsi="PT Astra Serif" w:cs="Noto Sans Devanagari"/>
    </w:rPr>
  </w:style>
  <w:style w:type="paragraph" w:styleId="HeaderandFooter">
    <w:name w:val="Header and Footer"/>
    <w:basedOn w:val="Normal"/>
    <w:qFormat/>
    <w:pPr/>
    <w:rPr/>
  </w:style>
  <w:style w:type="paragraph" w:styleId="Header">
    <w:name w:val="header"/>
    <w:basedOn w:val="Normal"/>
    <w:link w:val="Style7"/>
    <w:uiPriority w:val="99"/>
    <w:unhideWhenUsed/>
    <w:rsid w:val="00135155"/>
    <w:pPr>
      <w:tabs>
        <w:tab w:val="clear" w:pos="708"/>
        <w:tab w:val="center" w:pos="4677" w:leader="none"/>
        <w:tab w:val="right" w:pos="9355" w:leader="none"/>
      </w:tabs>
      <w:spacing w:lineRule="auto" w:line="240" w:before="0" w:after="0"/>
    </w:pPr>
    <w:rPr/>
  </w:style>
  <w:style w:type="paragraph" w:styleId="Footer">
    <w:name w:val="footer"/>
    <w:basedOn w:val="Normal"/>
    <w:link w:val="Style8"/>
    <w:uiPriority w:val="99"/>
    <w:unhideWhenUsed/>
    <w:rsid w:val="00135155"/>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9"/>
    <w:uiPriority w:val="34"/>
    <w:qFormat/>
    <w:rsid w:val="00933a4c"/>
    <w:pPr>
      <w:spacing w:before="0" w:after="160"/>
      <w:ind w:left="720"/>
      <w:contextualSpacing/>
    </w:pPr>
    <w:rPr/>
  </w:style>
  <w:style w:type="paragraph" w:styleId="ConsPlusNormal" w:customStyle="1">
    <w:name w:val="ConsPlusNormal"/>
    <w:qFormat/>
    <w:rsid w:val="00fa6c75"/>
    <w:pPr>
      <w:widowControl w:val="false"/>
      <w:suppressAutoHyphens w:val="true"/>
      <w:bidi w:val="0"/>
      <w:spacing w:lineRule="auto" w:line="240"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Default" w:customStyle="1">
    <w:name w:val="Default"/>
    <w:qFormat/>
    <w:rsid w:val="008501eb"/>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ru-RU" w:eastAsia="ru-RU" w:bidi="ar-SA"/>
    </w:rPr>
  </w:style>
  <w:style w:type="paragraph" w:styleId="BodyText2">
    <w:name w:val="Body Text 2"/>
    <w:basedOn w:val="Normal"/>
    <w:link w:val="21"/>
    <w:uiPriority w:val="99"/>
    <w:semiHidden/>
    <w:unhideWhenUsed/>
    <w:qFormat/>
    <w:rsid w:val="00c3188d"/>
    <w:pPr>
      <w:spacing w:lineRule="auto" w:line="480" w:before="0" w:after="120"/>
    </w:pPr>
    <w:rPr/>
  </w:style>
  <w:style w:type="paragraph" w:styleId="BodyText3">
    <w:name w:val="Body Text 3"/>
    <w:basedOn w:val="Normal"/>
    <w:link w:val="31"/>
    <w:uiPriority w:val="99"/>
    <w:semiHidden/>
    <w:unhideWhenUsed/>
    <w:qFormat/>
    <w:rsid w:val="00c3188d"/>
    <w:pPr>
      <w:spacing w:before="0" w:after="120"/>
    </w:pPr>
    <w:rPr>
      <w:sz w:val="16"/>
      <w:szCs w:val="16"/>
    </w:rPr>
  </w:style>
  <w:style w:type="paragraph" w:styleId="Style13">
    <w:name w:val="Содержимое таблицы"/>
    <w:basedOn w:val="Normal"/>
    <w:qFormat/>
    <w:pPr>
      <w:widowControl w:val="false"/>
      <w:suppressLineNumbers/>
    </w:pPr>
    <w:rPr/>
  </w:style>
  <w:style w:type="paragraph" w:styleId="Style14">
    <w:name w:val="Заголовок таблицы"/>
    <w:basedOn w:val="Style13"/>
    <w:qFormat/>
    <w:pPr>
      <w:suppressLineNumbers/>
      <w:jc w:val="center"/>
    </w:pPr>
    <w:rPr>
      <w:b/>
      <w:bCs/>
    </w:rPr>
  </w:style>
  <w:style w:type="numbering" w:styleId="Style15" w:default="1">
    <w:name w:val="Без списка"/>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b">
    <w:name w:val="Table Grid"/>
    <w:basedOn w:val="a2"/>
    <w:uiPriority w:val="39"/>
    <w:rsid w:val="00fa19f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133</TotalTime>
  <Application>LibreOffice/24.8.4.2$Linux_X86_64 LibreOffice_project/480$Build-2</Application>
  <AppVersion>15.0000</AppVersion>
  <Pages>6</Pages>
  <Words>1574</Words>
  <Characters>10252</Characters>
  <CharactersWithSpaces>11674</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2025-08-19T10:18:00Z</dcterms:created>
  <dc:creator>Клюквин Андрей Александрович</dc:creator>
  <dc:description/>
  <dc:language>ru-RU</dc:language>
  <cp:lastModifiedBy/>
  <cp:lastPrinted>2026-04-28T09:46:32Z</cp:lastPrinted>
  <dcterms:modified xsi:type="dcterms:W3CDTF">2026-04-29T08:26:42Z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