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tabs>
          <w:tab w:val="clear" w:pos="708"/>
          <w:tab w:val="center" w:pos="5017" w:leader="none"/>
        </w:tabs>
        <w:spacing w:lineRule="auto" w:line="240" w:before="0"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ПРОТОКОЛ №  32615986677-1 (182/             -ЗД)</w:t>
      </w:r>
    </w:p>
    <w:p>
      <w:pPr>
        <w:pStyle w:val="ConsPlusNormal1"/>
        <w:jc w:val="center"/>
        <w:rPr>
          <w:rFonts w:ascii="Times New Roman" w:hAnsi="Times New Roman"/>
          <w:sz w:val="26"/>
        </w:rPr>
      </w:pPr>
      <w:r>
        <w:rPr>
          <w:b/>
          <w:sz w:val="26"/>
        </w:rPr>
        <w:t>заседания закупочной комиссии по подведению итогов закупки на право</w:t>
      </w:r>
    </w:p>
    <w:p>
      <w:pPr>
        <w:pStyle w:val="Normal"/>
        <w:spacing w:lineRule="auto" w:line="240" w:before="0" w:after="20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заключения договора на поставка автомобильной химии и автокосметики.</w:t>
      </w:r>
    </w:p>
    <w:tbl>
      <w:tblPr>
        <w:tblStyle w:val="Style_3"/>
        <w:tblW w:w="9247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4"/>
        <w:gridCol w:w="4292"/>
      </w:tblGrid>
      <w:tr>
        <w:trPr>
          <w:trHeight w:val="1" w:hRule="atLeast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410000, Саратовская область, м. р-н Балаковский, с.п. Натальинское, тер. Промплощадка Балаковской АЭС.</w:t>
            </w:r>
          </w:p>
        </w:tc>
        <w:tc>
          <w:tcPr>
            <w:tcW w:w="4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</w:tcPr>
          <w:p>
            <w:pPr>
              <w:pStyle w:val="Normal"/>
              <w:tabs>
                <w:tab w:val="clear" w:pos="708"/>
                <w:tab w:val="left" w:pos="252" w:leader="none"/>
              </w:tabs>
              <w:spacing w:lineRule="auto" w:line="240" w:before="0" w:after="0"/>
              <w:ind w:hanging="0" w:left="0" w:right="0"/>
              <w:jc w:val="righ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«19» мая 2026 г. дата подписания протокола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</w:r>
    </w:p>
    <w:p>
      <w:pPr>
        <w:pStyle w:val="Normal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Информация о закупке:</w:t>
      </w:r>
    </w:p>
    <w:p>
      <w:pPr>
        <w:pStyle w:val="Normal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Заказчик: ООО "Балаковская АЭС-Авто"</w:t>
      </w:r>
    </w:p>
    <w:p>
      <w:pPr>
        <w:pStyle w:val="Normal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Организатор </w:t>
      </w:r>
      <w:r>
        <w:rPr>
          <w:rFonts w:ascii="Times New Roman" w:hAnsi="Times New Roman"/>
          <w:color w:val="000000"/>
          <w:sz w:val="26"/>
        </w:rPr>
        <w:t>закупки</w:t>
      </w:r>
      <w:r>
        <w:rPr>
          <w:rFonts w:ascii="Times New Roman" w:hAnsi="Times New Roman"/>
          <w:sz w:val="26"/>
        </w:rPr>
        <w:t>: ООО "Балаковская АЭС-Авто"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spacing w:lineRule="auto" w:line="240" w:before="0" w:after="20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color w:val="000000"/>
          <w:sz w:val="26"/>
        </w:rPr>
        <w:t>Способ закупки</w:t>
      </w:r>
      <w:r>
        <w:rPr>
          <w:rFonts w:ascii="Times New Roman" w:hAnsi="Times New Roman"/>
          <w:sz w:val="26"/>
        </w:rPr>
        <w:t xml:space="preserve">: </w:t>
      </w:r>
      <w:r>
        <w:rPr>
          <w:rFonts w:ascii="Times New Roman" w:hAnsi="Times New Roman"/>
          <w:color w:val="000000"/>
          <w:sz w:val="26"/>
        </w:rPr>
        <w:t>Открытый запрос котировок в электронной форме</w:t>
      </w:r>
      <w:r>
        <w:rPr>
          <w:rFonts w:ascii="Times New Roman" w:hAnsi="Times New Roman"/>
          <w:sz w:val="26"/>
        </w:rPr>
        <w:t>, участниками которого могут быть только субъекты малого и среднего предпринимательства.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spacing w:lineRule="auto" w:line="240" w:before="0" w:after="200"/>
        <w:ind w:hanging="0" w:left="0" w:right="15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Предмет </w:t>
      </w:r>
      <w:r>
        <w:rPr>
          <w:rFonts w:ascii="Times New Roman" w:hAnsi="Times New Roman"/>
          <w:color w:val="000000"/>
          <w:sz w:val="26"/>
        </w:rPr>
        <w:t>закупки</w:t>
      </w:r>
      <w:r>
        <w:rPr>
          <w:rFonts w:ascii="Times New Roman" w:hAnsi="Times New Roman"/>
          <w:sz w:val="26"/>
        </w:rPr>
        <w:t>: право заключения договора на поставка автомобильной химии и автокосметики.</w:t>
      </w:r>
    </w:p>
    <w:p>
      <w:pPr>
        <w:pStyle w:val="Normal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Состав и объем товара: все необходимые сведения приведены в Томе 2 закупочной документации.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20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Срок поставки товара: В соответствии с проектом договора.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Начальная (максимальная) цена договора: 451 658,95 (Четыреста пятьдесят одна тысяча шестьсот пятьдесят восемь) рублей 95 копеек,  учётом всех налогов, сборов, транспортных и прочих расходов.</w:t>
      </w:r>
    </w:p>
    <w:p>
      <w:pPr>
        <w:pStyle w:val="Normal"/>
        <w:spacing w:lineRule="auto" w:line="240" w:before="0" w:after="2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Начальная (максимальная) цена единицы продукции:</w:t>
      </w:r>
    </w:p>
    <w:tbl>
      <w:tblPr>
        <w:tblStyle w:val="Style_3"/>
        <w:tblW w:w="92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5412"/>
        <w:gridCol w:w="2"/>
        <w:gridCol w:w="3083"/>
      </w:tblGrid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 xml:space="preserve">№ </w:t>
            </w: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п/п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Наименование продукции</w:t>
            </w:r>
          </w:p>
        </w:tc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НМЦ единицы продукции, руб., с учётом всех налогов, сборов, транспортных и прочих расходов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Полироль-очиститель пластика матовый Grass "Polyrole Matte" (или аналог), флакон 600 мл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321,10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2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Средство для очистки стекол и зеркал Grass "Clean Glass" (или аналог), флакон 600 мл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189,10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3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Очиститель-кондиционер кожи Grass "Leather Cleaner Conditioner" 600 мл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247,00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4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Шампунь для порталов Active Foam Red канистра не менее 20 кг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2 937,76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5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Очиститель двигателя Grass "Motor Cleaner" канистра не менее 22,5 кг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4 839,25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6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Средство для удаления битума Grass "ANTIBITUM" канистра не менее 5л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1 700,68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7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Очиститель обивки салона  Grass "Textile cleaner" (или аналог) канистра не менее 5,4 кг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1 356,01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8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Пенный очиститель Grass MULTIPURPOSE FOAM CLEANER (или аналог) аэрозоль 750 мл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529,65</w:t>
            </w:r>
          </w:p>
        </w:tc>
      </w:tr>
      <w:tr>
        <w:trPr>
          <w:trHeight w:val="753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9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left="34" w:right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Очиститель карбюратора   АБРО  MASTERS PROF XL   CC-120-RW аэрозоль 650 мл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466,96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10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left="34" w:right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Очиститель электроконтактов NANOPROTECH  NPOE0031 аэрозоль 210 мл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373,32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11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left="34" w:right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Литиевая смазка Lecar  LECAR000010310 аэрозоль 520 мл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413,58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12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left="34" w:right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Быстродействующая проникающая смазка WD-40  SP70113 аэрозоль 420 мл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344,00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13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left="34" w:right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Силиконовый герметик-прокладка АВТОСИЛ  11225 туба 180 г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341,76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14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"/>
              <w:numPr>
                <w:ilvl w:val="0"/>
                <w:numId w:val="0"/>
              </w:numPr>
              <w:spacing w:lineRule="auto" w:line="240" w:before="69" w:after="0"/>
              <w:ind w:hanging="0" w:left="0" w:right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color w:val="000000"/>
                <w:spacing w:val="0"/>
                <w:kern w:val="0"/>
                <w:sz w:val="24"/>
                <w:szCs w:val="20"/>
              </w:rPr>
              <w:t>Чернитель шин Grass "Black rubber"(или аналог) 600 мл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261,98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15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Силиконовая смазка Grass Silicone (или аналог) 400 мл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302,56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16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Силиконовая смазка для резиновых уплотнителей 100 мл RUNWAY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158,60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17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Горячий воск GRASS «Hot Wax» канистра не менее 1 л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588,00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18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Чернитель резины, аэрозоль 400 мл Goodyear GY000700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385,07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19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Высокопенное кислотное моющее средство УЧС-К304, канистра не менее 5 л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830,82</w:t>
            </w:r>
          </w:p>
        </w:tc>
      </w:tr>
      <w:tr>
        <w:trPr>
          <w:trHeight w:val="384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20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"/>
              <w:numPr>
                <w:ilvl w:val="0"/>
                <w:numId w:val="0"/>
              </w:numPr>
              <w:spacing w:lineRule="auto" w:line="240" w:before="12" w:after="12"/>
              <w:ind w:hanging="0" w:left="0" w:right="-99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color w:val="000000"/>
                <w:spacing w:val="0"/>
                <w:kern w:val="0"/>
                <w:sz w:val="24"/>
                <w:szCs w:val="20"/>
              </w:rPr>
              <w:t>Средство для стекол и зеркал «Antirain», флакон 600 мл (или аналог)</w:t>
            </w:r>
          </w:p>
        </w:tc>
        <w:tc>
          <w:tcPr>
            <w:tcW w:w="2" w:type="dxa"/>
            <w:tcBorders/>
          </w:tcPr>
          <w:p>
            <w:pPr>
              <w:pStyle w:val="Normal"/>
              <w:spacing w:lineRule="auto" w:line="240" w:before="0" w:after="160"/>
              <w:ind w:hanging="0" w:left="0" w:right="0"/>
              <w:jc w:val="left"/>
              <w:rPr>
                <w:spacing w:val="0"/>
                <w:kern w:val="0"/>
                <w:sz w:val="22"/>
                <w:szCs w:val="20"/>
              </w:rPr>
            </w:pPr>
            <w:r>
              <w:rPr>
                <w:spacing w:val="0"/>
                <w:kern w:val="0"/>
                <w:sz w:val="22"/>
                <w:szCs w:val="20"/>
              </w:rPr>
            </w: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201,30</w:t>
            </w:r>
          </w:p>
        </w:tc>
      </w:tr>
    </w:tbl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Извещение о проведении закупки (закупочная документация) опубликованы  «07» мая 2026, на официальном государственном сайте </w:t>
      </w:r>
      <w:r>
        <w:rPr>
          <w:rFonts w:ascii="Times New Roman" w:hAnsi="Times New Roman"/>
          <w:color w:val="0000FF"/>
          <w:sz w:val="26"/>
        </w:rPr>
        <w:t>http://www.zakupki.gov.ru/</w:t>
      </w:r>
      <w:r>
        <w:rPr>
          <w:rFonts w:ascii="Times New Roman" w:hAnsi="Times New Roman"/>
          <w:sz w:val="26"/>
        </w:rPr>
        <w:t xml:space="preserve">, закупка № 32615986677, на официальном сайте по закупкам атомной отрасли </w:t>
      </w:r>
      <w:r>
        <w:rPr>
          <w:rFonts w:ascii="Times New Roman" w:hAnsi="Times New Roman"/>
          <w:color w:val="0000FF"/>
          <w:sz w:val="26"/>
        </w:rPr>
        <w:t>http://zakupki.rosatom.ru/</w:t>
      </w:r>
      <w:r>
        <w:rPr>
          <w:rFonts w:ascii="Times New Roman" w:hAnsi="Times New Roman"/>
          <w:sz w:val="26"/>
        </w:rPr>
        <w:t>, закупка № 199625, на ЭТП ЭТС (НЭП), закупка № 32615986677.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ind w:hanging="0" w:left="0" w:right="556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Заседание закупочной комиссии проводится в очной форме в 10:00 (время московское) «19» мая 2026, по адресу: 410000, Саратовская область, м. р-н Балаковский, с.п. Натальинское, тер. Промплощадка Балаковской АЭС.</w:t>
      </w:r>
    </w:p>
    <w:p>
      <w:pPr>
        <w:pStyle w:val="Normal"/>
        <w:keepLines/>
        <w:spacing w:lineRule="auto" w:line="240" w:before="0" w:after="0"/>
        <w:ind w:hanging="0" w:left="1" w:right="0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В заседании принимают участие:</w:t>
      </w:r>
      <w:r>
        <w:rPr>
          <w:rFonts w:ascii="Times New Roman" w:hAnsi="Times New Roman"/>
          <w:sz w:val="26"/>
        </w:rPr>
        <w:t xml:space="preserve"> </w:t>
      </w:r>
    </w:p>
    <w:tbl>
      <w:tblPr>
        <w:tblStyle w:val="Style_3"/>
        <w:tblW w:w="9450" w:type="dxa"/>
        <w:jc w:val="left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4425"/>
        <w:gridCol w:w="5024"/>
      </w:tblGrid>
      <w:tr>
        <w:trPr/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ФИО</w:t>
            </w:r>
          </w:p>
        </w:tc>
        <w:tc>
          <w:tcPr>
            <w:tcW w:w="5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Должность</w:t>
            </w:r>
          </w:p>
        </w:tc>
      </w:tr>
      <w:tr>
        <w:trPr/>
        <w:tc>
          <w:tcPr>
            <w:tcW w:w="9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Председатель закупочной комиссии:</w:t>
            </w:r>
          </w:p>
        </w:tc>
      </w:tr>
      <w:tr>
        <w:trPr/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Тамышев Валерий Валентинович</w:t>
            </w:r>
          </w:p>
        </w:tc>
        <w:tc>
          <w:tcPr>
            <w:tcW w:w="5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9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Новиков Александр Владимирович</w:t>
            </w:r>
          </w:p>
        </w:tc>
        <w:tc>
          <w:tcPr>
            <w:tcW w:w="5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Генеральный директор</w:t>
            </w:r>
          </w:p>
        </w:tc>
      </w:tr>
      <w:tr>
        <w:trPr/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Коломиец Дмитрий Сергеевич</w:t>
            </w:r>
          </w:p>
        </w:tc>
        <w:tc>
          <w:tcPr>
            <w:tcW w:w="5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Заместитель Генерального директора по транспорту</w:t>
            </w:r>
          </w:p>
        </w:tc>
      </w:tr>
      <w:tr>
        <w:trPr/>
        <w:tc>
          <w:tcPr>
            <w:tcW w:w="9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Члены закупочной комиссии:</w:t>
            </w:r>
          </w:p>
        </w:tc>
      </w:tr>
      <w:tr>
        <w:trPr/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Полынина Наталья Александровна</w:t>
            </w:r>
          </w:p>
        </w:tc>
        <w:tc>
          <w:tcPr>
            <w:tcW w:w="5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Ведущий бухгалтер</w:t>
            </w:r>
          </w:p>
        </w:tc>
      </w:tr>
      <w:tr>
        <w:trPr/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Верховская Ирина Вячеславовна</w:t>
            </w:r>
          </w:p>
        </w:tc>
        <w:tc>
          <w:tcPr>
            <w:tcW w:w="5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Начальник ООЗиМТО</w:t>
            </w:r>
          </w:p>
        </w:tc>
      </w:tr>
      <w:tr>
        <w:trPr/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Бастова Ольга Гаязовна</w:t>
            </w:r>
          </w:p>
        </w:tc>
        <w:tc>
          <w:tcPr>
            <w:tcW w:w="5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Руководитель ГМТО</w:t>
            </w:r>
          </w:p>
        </w:tc>
      </w:tr>
      <w:tr>
        <w:trPr/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Турсунова Ольга Владимировна</w:t>
            </w:r>
          </w:p>
        </w:tc>
        <w:tc>
          <w:tcPr>
            <w:tcW w:w="5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Руководитель ГПО</w:t>
            </w:r>
          </w:p>
        </w:tc>
      </w:tr>
      <w:tr>
        <w:trPr/>
        <w:tc>
          <w:tcPr>
            <w:tcW w:w="9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Сахнова Екатерина Васильевна</w:t>
            </w:r>
          </w:p>
        </w:tc>
        <w:tc>
          <w:tcPr>
            <w:tcW w:w="5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Руководитель ГОЗ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Заседание проводится в присутствии 8 из 8 членов закупочной комиссии. Кворум имеется.</w:t>
      </w:r>
      <w:r>
        <w:rPr>
          <w:rFonts w:ascii="Times New Roman" w:hAnsi="Times New Roman"/>
          <w:i/>
          <w:color w:val="FF0000"/>
          <w:sz w:val="26"/>
        </w:rPr>
        <w:t xml:space="preserve">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1. Срок окончания подачи заявок на участие в закупке 10:00 (время московское) «18» мая 2026 года.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Количество поданных на ЭТП ЭТС (НЭП) заявок на участие в закупке - 1.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Согласно результатам открытия доступа к зявкам на участие в закупке:</w:t>
      </w:r>
    </w:p>
    <w:tbl>
      <w:tblPr>
        <w:tblStyle w:val="Style_3"/>
        <w:tblW w:w="924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3"/>
        <w:gridCol w:w="7089"/>
      </w:tblGrid>
      <w:tr>
        <w:trPr>
          <w:trHeight w:val="1" w:hRule="atLeast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Рег. № заявки на ЭТП</w:t>
            </w:r>
          </w:p>
        </w:tc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Дата и время регистрации заявки</w:t>
            </w:r>
          </w:p>
        </w:tc>
      </w:tr>
      <w:tr>
        <w:trPr>
          <w:trHeight w:val="1" w:hRule="atLeast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i/>
                <w:spacing w:val="0"/>
                <w:kern w:val="0"/>
                <w:sz w:val="26"/>
                <w:szCs w:val="20"/>
              </w:rPr>
              <w:t>32615986677-1-1</w:t>
            </w:r>
          </w:p>
        </w:tc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16:07 (время московское) «15» мая 2026 года</w:t>
            </w:r>
          </w:p>
        </w:tc>
      </w:tr>
    </w:tbl>
    <w:p>
      <w:pPr>
        <w:pStyle w:val="Normal"/>
        <w:spacing w:lineRule="auto" w:line="240" w:before="0" w:after="0"/>
        <w:ind w:hanging="0" w:left="0" w:right="556"/>
        <w:jc w:val="both"/>
        <w:rPr/>
      </w:pPr>
      <w:r>
        <w:rPr/>
      </w:r>
    </w:p>
    <w:p>
      <w:pPr>
        <w:pStyle w:val="Normal"/>
        <w:spacing w:lineRule="auto" w:line="240" w:before="0" w:after="0"/>
        <w:ind w:hanging="0" w:left="0" w:right="556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2. Информация о ценовых предложениях участников</w:t>
      </w:r>
    </w:p>
    <w:tbl>
      <w:tblPr>
        <w:tblStyle w:val="Style_3"/>
        <w:tblW w:w="942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0"/>
        <w:gridCol w:w="3180"/>
        <w:gridCol w:w="2677"/>
        <w:gridCol w:w="2093"/>
      </w:tblGrid>
      <w:tr>
        <w:trPr>
          <w:trHeight w:val="1" w:hRule="atLeast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Рег. № заявки на ЭТП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Участник закупки</w:t>
            </w:r>
            <w:r>
              <w:rPr>
                <w:rFonts w:ascii="Times New Roman" w:hAnsi="Times New Roman"/>
                <w:b/>
                <w:i/>
                <w:spacing w:val="0"/>
                <w:kern w:val="0"/>
                <w:sz w:val="26"/>
                <w:szCs w:val="20"/>
              </w:rPr>
              <w:t xml:space="preserve"> 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Ценовое предложение сделанное участником закупки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Дата и время поступления ценового предложения</w:t>
            </w:r>
          </w:p>
        </w:tc>
      </w:tr>
      <w:tr>
        <w:trPr>
          <w:trHeight w:val="1" w:hRule="atLeast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i/>
                <w:spacing w:val="0"/>
                <w:kern w:val="0"/>
                <w:sz w:val="26"/>
                <w:szCs w:val="20"/>
              </w:rPr>
              <w:t>32615986677-1-1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i/>
                <w:spacing w:val="0"/>
                <w:kern w:val="0"/>
                <w:sz w:val="26"/>
                <w:szCs w:val="20"/>
              </w:rPr>
              <w:t>ООО "ДЕЛО"</w:t>
              <w:br/>
              <w:t>ИНН 6439103902</w:t>
              <w:br/>
              <w:t>КПП: 643901001</w:t>
              <w:br/>
              <w:t>ОГРН: 1256400001769</w:t>
              <w:br/>
              <w:t>Юридический Адрес: 413857, Саратовская обл, Балаково г, Ленина ул, 107, кв. 73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 xml:space="preserve">Цена заявки: 424 808 рублей 18 копеек, (Четыреста двадцать четыре тысячи восемьсот восемь рублей 18 копеек), включая НДС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 xml:space="preserve">«15» мая 2026 года 16:07 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 xml:space="preserve">(время московское) </w:t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spacing w:lineRule="auto" w:line="240" w:before="0" w:after="120"/>
        <w:ind w:hanging="0" w:left="0" w:right="0"/>
        <w:outlineLvl w:val="0"/>
        <w:rPr>
          <w:rFonts w:ascii="PT Astra Serif" w:hAnsi="PT Astra Serif"/>
        </w:rPr>
      </w:pPr>
      <w:r>
        <w:rPr>
          <w:rFonts w:ascii="PT Astra Serif" w:hAnsi="PT Astra Serif"/>
          <w:sz w:val="26"/>
        </w:rPr>
        <w:t>2. По результатам рассмотрения заявок на участие в закупке закупочной комиссией было</w:t>
      </w:r>
      <w:r>
        <w:rPr>
          <w:rFonts w:ascii="PT Astra Serif" w:hAnsi="PT Astra Serif"/>
          <w:i/>
          <w:sz w:val="26"/>
        </w:rPr>
        <w:t xml:space="preserve"> </w:t>
      </w:r>
      <w:r>
        <w:rPr>
          <w:rFonts w:ascii="PT Astra Serif" w:hAnsi="PT Astra Serif"/>
          <w:sz w:val="26"/>
        </w:rPr>
        <w:t xml:space="preserve">принято следующее решение: 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</w:rPr>
        <w:t>2.1. Признать соответствующей требованиям извещения о проведении закупки (закупочной документации) заявку участника:</w:t>
      </w:r>
    </w:p>
    <w:p>
      <w:pPr>
        <w:pStyle w:val="Normal"/>
        <w:keepLines/>
        <w:tabs>
          <w:tab w:val="clear" w:pos="708"/>
          <w:tab w:val="left" w:pos="993" w:leader="none"/>
        </w:tabs>
        <w:spacing w:lineRule="auto" w:line="240" w:before="0" w:after="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6"/>
        </w:rPr>
        <w:t xml:space="preserve">2.2.1. ООО "Дело", номер заявки № </w:t>
      </w:r>
      <w:r>
        <w:rPr>
          <w:rFonts w:ascii="PT Astra Serif" w:hAnsi="PT Astra Serif"/>
          <w:b w:val="false"/>
          <w:i w:val="false"/>
          <w:color w:val="000000"/>
          <w:sz w:val="26"/>
        </w:rPr>
        <w:t>32615986677-1-1</w:t>
      </w:r>
      <w:r>
        <w:rPr>
          <w:rFonts w:ascii="PT Astra Serif" w:hAnsi="PT Astra Serif"/>
          <w:color w:val="000000"/>
          <w:sz w:val="26"/>
        </w:rPr>
        <w:t>,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6"/>
        </w:rPr>
        <w:t xml:space="preserve">Количество заявок на участие в закупке, которые отклонены: </w:t>
      </w:r>
      <w:r>
        <w:rPr>
          <w:rFonts w:ascii="PT Astra Serif" w:hAnsi="PT Astra Serif"/>
          <w:color w:val="000000"/>
        </w:rPr>
        <w:t>0</w:t>
      </w:r>
    </w:p>
    <w:p>
      <w:pPr>
        <w:pStyle w:val="Normal"/>
        <w:spacing w:lineRule="auto" w:line="240" w:before="0" w:after="0"/>
        <w:jc w:val="lef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</w:p>
    <w:p>
      <w:pPr>
        <w:pStyle w:val="Normal"/>
        <w:spacing w:lineRule="auto" w:line="240" w:before="0" w:after="0"/>
        <w:jc w:val="left"/>
        <w:rPr>
          <w:rFonts w:ascii="PT Astra Serif" w:hAnsi="PT Astra Serif"/>
        </w:rPr>
      </w:pPr>
      <w:r>
        <w:rPr>
          <w:rFonts w:ascii="PT Astra Serif" w:hAnsi="PT Astra Serif"/>
          <w:sz w:val="26"/>
        </w:rPr>
        <w:t xml:space="preserve">Результаты голосования членов закупочной комиссии: </w:t>
        <w:br/>
        <w:t>«за» - 8 голоса/-ов: Тамышев В.В., Новиков А.В., Коломиец Д.С., Верховская И.В., Турсунова О.В., Полынина Н.А., Бастова О.Г., Сахнова Е.В.;</w:t>
      </w:r>
    </w:p>
    <w:p>
      <w:pPr>
        <w:pStyle w:val="Normal"/>
        <w:keepLines w:val="false"/>
        <w:spacing w:lineRule="auto" w:line="240" w:before="0" w:after="0"/>
        <w:jc w:val="left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«против» - 0 голоса/-ов;</w:t>
        <w:br/>
        <w:t>«воздержался» - 0 голоса/-ов.</w:t>
      </w:r>
    </w:p>
    <w:p>
      <w:pPr>
        <w:pStyle w:val="Normal"/>
        <w:spacing w:lineRule="auto" w:line="240" w:before="246" w:after="0"/>
        <w:ind w:hanging="0" w:left="0" w:right="0"/>
        <w:jc w:val="both"/>
        <w:rPr>
          <w:rFonts w:ascii="PT Astra Serif" w:hAnsi="PT Astra Serif"/>
          <w:color w:val="000000"/>
          <w:sz w:val="22"/>
        </w:rPr>
      </w:pPr>
      <w:r>
        <w:rPr>
          <w:rFonts w:ascii="PT Astra Serif" w:hAnsi="PT Astra Serif"/>
          <w:color w:val="000000"/>
          <w:sz w:val="26"/>
        </w:rPr>
        <w:t xml:space="preserve">3. 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 ООО "Дело", с уникальным идентификационным номером заявки </w:t>
      </w:r>
      <w:r>
        <w:rPr>
          <w:rFonts w:ascii="PT Astra Serif" w:hAnsi="PT Astra Serif"/>
          <w:b w:val="false"/>
          <w:i w:val="false"/>
          <w:color w:val="000000"/>
          <w:sz w:val="26"/>
        </w:rPr>
        <w:t>32615986677-1-1</w:t>
      </w:r>
      <w:r>
        <w:rPr>
          <w:rFonts w:ascii="PT Astra Serif" w:hAnsi="PT Astra Serif"/>
          <w:color w:val="000000"/>
          <w:sz w:val="26"/>
        </w:rPr>
        <w:t>, в соответствии с пунктом</w:t>
      </w:r>
      <w:r>
        <w:rPr>
          <w:rFonts w:ascii="PT Astra Serif" w:hAnsi="PT Astra Serif"/>
          <w:color w:val="000000"/>
          <w:sz w:val="22"/>
        </w:rPr>
        <w:t xml:space="preserve"> </w:t>
      </w:r>
      <w:r>
        <w:rPr>
          <w:rFonts w:ascii="PT Astra Serif" w:hAnsi="PT Astra Serif"/>
          <w:color w:val="000000"/>
          <w:sz w:val="26"/>
        </w:rPr>
        <w:t>7.10 Тома 1 части 2 закупочной документации</w:t>
      </w:r>
      <w:r>
        <w:rPr>
          <w:rFonts w:ascii="PT Astra Serif" w:hAnsi="PT Astra Serif"/>
          <w:color w:val="000000"/>
          <w:sz w:val="22"/>
        </w:rPr>
        <w:t xml:space="preserve"> </w:t>
      </w:r>
      <w:r>
        <w:rPr>
          <w:rFonts w:ascii="PT Astra Serif" w:hAnsi="PT Astra Serif"/>
          <w:color w:val="000000"/>
          <w:sz w:val="26"/>
        </w:rPr>
        <w:t>закупка признана несостоявшейся.</w:t>
      </w:r>
    </w:p>
    <w:p>
      <w:pPr>
        <w:pStyle w:val="Normal"/>
        <w:spacing w:lineRule="auto" w:line="240" w:before="113" w:after="57"/>
        <w:ind w:hanging="0" w:left="0" w:right="0"/>
        <w:jc w:val="both"/>
        <w:rPr>
          <w:rFonts w:ascii="PT Astra Serif" w:hAnsi="PT Astra Serif"/>
          <w:color w:val="000000"/>
          <w:sz w:val="22"/>
        </w:rPr>
      </w:pPr>
      <w:r>
        <w:rPr>
          <w:rFonts w:ascii="PT Astra Serif" w:hAnsi="PT Astra Serif"/>
          <w:color w:val="000000"/>
          <w:sz w:val="26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ind w:hanging="0" w:left="0" w:right="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6"/>
        </w:rPr>
        <w:t>«за» - 8 голосов: Тамышев В.В., Новиков А.В., Коломиец Д.С., Верховская И.В., Бастова О.Г., Турсунова О.В., Полынина Н.А., Сахнова Е.В.;</w:t>
      </w:r>
      <w:r>
        <w:rPr>
          <w:rFonts w:ascii="PT Astra Serif" w:hAnsi="PT Astra Serif"/>
        </w:rPr>
        <w:br/>
      </w:r>
      <w:r>
        <w:rPr>
          <w:rFonts w:ascii="PT Astra Serif" w:hAnsi="PT Astra Serif"/>
          <w:color w:val="000000"/>
          <w:sz w:val="26"/>
        </w:rPr>
        <w:t>«против» - 0 голосов;</w:t>
      </w:r>
      <w:r>
        <w:rPr>
          <w:rFonts w:ascii="PT Astra Serif" w:hAnsi="PT Astra Serif"/>
        </w:rPr>
        <w:br/>
      </w:r>
      <w:r>
        <w:rPr>
          <w:rFonts w:ascii="PT Astra Serif" w:hAnsi="PT Astra Serif"/>
          <w:color w:val="000000"/>
          <w:sz w:val="26"/>
        </w:rPr>
        <w:t>«воздержался» - 0 голосов.</w:t>
      </w:r>
    </w:p>
    <w:p>
      <w:pPr>
        <w:pStyle w:val="Normal"/>
        <w:spacing w:lineRule="auto" w:line="240" w:before="227" w:after="0"/>
        <w:ind w:hanging="0" w:left="0" w:right="0"/>
        <w:rPr>
          <w:rFonts w:ascii="PT Astra Serif" w:hAnsi="PT Astra Serif"/>
          <w:color w:val="000000"/>
          <w:sz w:val="22"/>
        </w:rPr>
      </w:pPr>
      <w:r>
        <w:rPr>
          <w:rFonts w:ascii="PT Astra Serif" w:hAnsi="PT Astra Serif"/>
          <w:color w:val="000000"/>
          <w:sz w:val="26"/>
        </w:rPr>
        <w:t>Приложение:</w:t>
      </w:r>
    </w:p>
    <w:p>
      <w:pPr>
        <w:pStyle w:val="Normal"/>
        <w:spacing w:lineRule="auto" w:line="240" w:before="0" w:after="0"/>
        <w:ind w:hanging="0" w:left="0" w:right="0"/>
        <w:rPr>
          <w:rFonts w:ascii="PT Astra Serif" w:hAnsi="PT Astra Serif"/>
          <w:color w:val="000000"/>
          <w:sz w:val="22"/>
        </w:rPr>
      </w:pPr>
      <w:r>
        <w:rPr>
          <w:rFonts w:ascii="PT Astra Serif" w:hAnsi="PT Astra Serif"/>
          <w:color w:val="000000"/>
          <w:sz w:val="26"/>
        </w:rPr>
        <w:t>1. Решение о заключении Договора на 2 л. в 1 экз.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</w:r>
    </w:p>
    <w:p>
      <w:pPr>
        <w:pStyle w:val="Normal"/>
        <w:keepNext w:val="true"/>
        <w:keepLines/>
        <w:spacing w:lineRule="auto" w:line="240" w:before="0"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Закупочная комиссия:</w:t>
      </w:r>
    </w:p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>
      <w:pPr>
        <w:pStyle w:val="Normal"/>
        <w:keepLines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подтверждает объективность принимаемых решений;</w:t>
      </w:r>
    </w:p>
    <w:p>
      <w:pPr>
        <w:pStyle w:val="Normal"/>
        <w:keepLines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заявляет об отсутствии личной заинтересованности в исходе закупки;</w:t>
      </w:r>
    </w:p>
    <w:p>
      <w:pPr>
        <w:pStyle w:val="Normal"/>
        <w:keepLines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принимает на себя обязательства:</w:t>
      </w:r>
    </w:p>
    <w:p>
      <w:pPr>
        <w:pStyle w:val="Normal"/>
        <w:keepLines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keepLines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</w:r>
    </w:p>
    <w:p>
      <w:pPr>
        <w:pStyle w:val="Normal"/>
        <w:keepLines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keepLines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</w:r>
    </w:p>
    <w:p>
      <w:pPr>
        <w:pStyle w:val="Normal"/>
        <w:keepLines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Style_3"/>
        <w:tblW w:w="9360" w:type="dxa"/>
        <w:jc w:val="left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4080"/>
        <w:gridCol w:w="3508"/>
        <w:gridCol w:w="1772"/>
      </w:tblGrid>
      <w:tr>
        <w:trPr/>
        <w:tc>
          <w:tcPr>
            <w:tcW w:w="4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ФИО</w:t>
            </w:r>
          </w:p>
        </w:tc>
        <w:tc>
          <w:tcPr>
            <w:tcW w:w="35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Должность</w:t>
            </w:r>
          </w:p>
        </w:tc>
        <w:tc>
          <w:tcPr>
            <w:tcW w:w="17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Подпись</w:t>
            </w:r>
          </w:p>
        </w:tc>
      </w:tr>
      <w:tr>
        <w:trPr/>
        <w:tc>
          <w:tcPr>
            <w:tcW w:w="9360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Председатель закупочной комиссии:</w:t>
            </w:r>
          </w:p>
        </w:tc>
      </w:tr>
      <w:tr>
        <w:trPr>
          <w:trHeight w:val="384" w:hRule="atLeast"/>
        </w:trPr>
        <w:tc>
          <w:tcPr>
            <w:tcW w:w="4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Тамышев Валерий Валентинович</w:t>
            </w:r>
          </w:p>
        </w:tc>
        <w:tc>
          <w:tcPr>
            <w:tcW w:w="35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Заместитель Генерального директора по общим вопросам</w:t>
            </w:r>
          </w:p>
        </w:tc>
        <w:tc>
          <w:tcPr>
            <w:tcW w:w="17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</w:r>
          </w:p>
        </w:tc>
      </w:tr>
      <w:tr>
        <w:trPr/>
        <w:tc>
          <w:tcPr>
            <w:tcW w:w="9360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Заместитель Председателя закупочной комиссии:</w:t>
            </w:r>
          </w:p>
        </w:tc>
      </w:tr>
      <w:tr>
        <w:trPr>
          <w:trHeight w:val="65" w:hRule="atLeast"/>
        </w:trPr>
        <w:tc>
          <w:tcPr>
            <w:tcW w:w="4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Новиков Александр Владимирович</w:t>
            </w:r>
          </w:p>
        </w:tc>
        <w:tc>
          <w:tcPr>
            <w:tcW w:w="35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Генеральный директор</w:t>
            </w:r>
          </w:p>
        </w:tc>
        <w:tc>
          <w:tcPr>
            <w:tcW w:w="17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b w:val="false"/>
                <w:sz w:val="26"/>
              </w:rPr>
            </w:pPr>
            <w:r>
              <w:rPr>
                <w:rFonts w:ascii="Times New Roman" w:hAnsi="Times New Roman"/>
                <w:b w:val="false"/>
                <w:spacing w:val="0"/>
                <w:kern w:val="0"/>
                <w:sz w:val="26"/>
                <w:szCs w:val="20"/>
              </w:rPr>
              <w:t>Согласованно в ЕОСДО</w:t>
            </w:r>
          </w:p>
        </w:tc>
      </w:tr>
      <w:tr>
        <w:trPr>
          <w:trHeight w:val="530" w:hRule="atLeast"/>
        </w:trPr>
        <w:tc>
          <w:tcPr>
            <w:tcW w:w="4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Коломиец Дмитрий Сергеевич</w:t>
            </w:r>
          </w:p>
        </w:tc>
        <w:tc>
          <w:tcPr>
            <w:tcW w:w="35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Заместитель Генерального директора по транспорту</w:t>
            </w:r>
          </w:p>
        </w:tc>
        <w:tc>
          <w:tcPr>
            <w:tcW w:w="17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b w:val="false"/>
                <w:sz w:val="26"/>
              </w:rPr>
            </w:pPr>
            <w:r>
              <w:rPr>
                <w:rFonts w:ascii="Times New Roman" w:hAnsi="Times New Roman"/>
                <w:b w:val="false"/>
                <w:spacing w:val="0"/>
                <w:kern w:val="0"/>
                <w:sz w:val="26"/>
                <w:szCs w:val="20"/>
              </w:rPr>
              <w:t>Согласованно в ЕОСДО</w:t>
            </w:r>
          </w:p>
        </w:tc>
      </w:tr>
      <w:tr>
        <w:trPr/>
        <w:tc>
          <w:tcPr>
            <w:tcW w:w="9360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Члены закупочной комиссии:</w:t>
            </w:r>
          </w:p>
        </w:tc>
      </w:tr>
      <w:tr>
        <w:trPr>
          <w:trHeight w:val="477" w:hRule="atLeast"/>
        </w:trPr>
        <w:tc>
          <w:tcPr>
            <w:tcW w:w="4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Бастова Ольга Гаязовна</w:t>
            </w:r>
          </w:p>
        </w:tc>
        <w:tc>
          <w:tcPr>
            <w:tcW w:w="35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Руководитель ГМТО</w:t>
            </w:r>
          </w:p>
        </w:tc>
        <w:tc>
          <w:tcPr>
            <w:tcW w:w="17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b w:val="false"/>
                <w:sz w:val="26"/>
              </w:rPr>
            </w:pPr>
            <w:r>
              <w:rPr>
                <w:rFonts w:ascii="Times New Roman" w:hAnsi="Times New Roman"/>
                <w:b w:val="false"/>
                <w:spacing w:val="0"/>
                <w:kern w:val="0"/>
                <w:sz w:val="26"/>
                <w:szCs w:val="20"/>
              </w:rPr>
              <w:t>Согласованно в ЕОСДО</w:t>
            </w:r>
          </w:p>
        </w:tc>
      </w:tr>
      <w:tr>
        <w:trPr>
          <w:trHeight w:val="376" w:hRule="atLeast"/>
        </w:trPr>
        <w:tc>
          <w:tcPr>
            <w:tcW w:w="4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Верховская Ирина Вячеславовна</w:t>
            </w:r>
          </w:p>
        </w:tc>
        <w:tc>
          <w:tcPr>
            <w:tcW w:w="35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Начальник ООЗиМТО</w:t>
            </w:r>
          </w:p>
        </w:tc>
        <w:tc>
          <w:tcPr>
            <w:tcW w:w="17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b w:val="false"/>
                <w:sz w:val="26"/>
              </w:rPr>
            </w:pPr>
            <w:r>
              <w:rPr>
                <w:rFonts w:ascii="Times New Roman" w:hAnsi="Times New Roman"/>
                <w:b w:val="false"/>
                <w:spacing w:val="0"/>
                <w:kern w:val="0"/>
                <w:sz w:val="26"/>
                <w:szCs w:val="20"/>
              </w:rPr>
              <w:t>Согласованно в ЕОСДО</w:t>
            </w:r>
          </w:p>
        </w:tc>
      </w:tr>
      <w:tr>
        <w:trPr>
          <w:trHeight w:val="517" w:hRule="atLeast"/>
        </w:trPr>
        <w:tc>
          <w:tcPr>
            <w:tcW w:w="4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Полынина Наталья Александровна</w:t>
            </w:r>
          </w:p>
        </w:tc>
        <w:tc>
          <w:tcPr>
            <w:tcW w:w="35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Ведущий бухгалтер</w:t>
            </w:r>
          </w:p>
        </w:tc>
        <w:tc>
          <w:tcPr>
            <w:tcW w:w="17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0"/>
                <w:kern w:val="0"/>
                <w:sz w:val="20"/>
                <w:szCs w:val="20"/>
              </w:rPr>
            </w:r>
          </w:p>
        </w:tc>
      </w:tr>
      <w:tr>
        <w:trPr>
          <w:trHeight w:val="518" w:hRule="atLeast"/>
        </w:trPr>
        <w:tc>
          <w:tcPr>
            <w:tcW w:w="4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Турсунова Ольга Владимировна</w:t>
            </w:r>
          </w:p>
        </w:tc>
        <w:tc>
          <w:tcPr>
            <w:tcW w:w="35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Руководитель ГПО</w:t>
            </w:r>
          </w:p>
        </w:tc>
        <w:tc>
          <w:tcPr>
            <w:tcW w:w="17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b w:val="false"/>
                <w:sz w:val="26"/>
              </w:rPr>
            </w:pPr>
            <w:r>
              <w:rPr>
                <w:rFonts w:ascii="Times New Roman" w:hAnsi="Times New Roman"/>
                <w:b w:val="false"/>
                <w:spacing w:val="0"/>
                <w:kern w:val="0"/>
                <w:sz w:val="26"/>
                <w:szCs w:val="20"/>
              </w:rPr>
              <w:t>Согласованно в ЕОСДО</w:t>
            </w:r>
          </w:p>
        </w:tc>
      </w:tr>
      <w:tr>
        <w:trPr/>
        <w:tc>
          <w:tcPr>
            <w:tcW w:w="9360" w:type="dxa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6"/>
                <w:szCs w:val="20"/>
              </w:rPr>
              <w:t>Секретарь закупочной комиссии (с правом голоса)</w:t>
            </w:r>
          </w:p>
        </w:tc>
      </w:tr>
      <w:tr>
        <w:trPr>
          <w:trHeight w:val="524" w:hRule="atLeast"/>
        </w:trPr>
        <w:tc>
          <w:tcPr>
            <w:tcW w:w="408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Сахнова Екатерина Васильевна</w:t>
            </w:r>
          </w:p>
        </w:tc>
        <w:tc>
          <w:tcPr>
            <w:tcW w:w="35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0"/>
                <w:kern w:val="0"/>
                <w:sz w:val="26"/>
                <w:szCs w:val="20"/>
              </w:rPr>
              <w:t>Руководитель ГОЗ</w:t>
            </w:r>
          </w:p>
        </w:tc>
        <w:tc>
          <w:tcPr>
            <w:tcW w:w="17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spacing w:before="0" w:after="0"/>
              <w:ind w:hanging="0" w:left="0" w:right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0"/>
                <w:kern w:val="0"/>
                <w:sz w:val="20"/>
                <w:szCs w:val="20"/>
              </w:rPr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footerReference w:type="default" r:id="rId2"/>
      <w:type w:val="nextPage"/>
      <w:pgSz w:w="11906" w:h="16838"/>
      <w:pgMar w:left="1701" w:right="850" w:gutter="0" w:header="0" w:top="1134" w:footer="708" w:bottom="113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XO Thames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widowControl w:val="false"/>
      <w:numPr>
        <w:ilvl w:val="0"/>
        <w:numId w:val="0"/>
      </w:numPr>
      <w:tabs>
        <w:tab w:val="clear" w:pos="708"/>
        <w:tab w:val="center" w:pos="5017" w:leader="none"/>
      </w:tabs>
      <w:spacing w:lineRule="auto" w:line="240" w:before="0" w:after="0"/>
      <w:ind w:hanging="0" w:left="0" w:right="0"/>
      <w:jc w:val="center"/>
      <w:outlineLvl w:val="0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</w:r>
  </w:p>
  <w:p>
    <w:pPr>
      <w:pStyle w:val="Normal"/>
      <w:spacing w:lineRule="auto" w:line="240" w:before="0" w:after="0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709"/>
        </w:tabs>
        <w:ind w:left="709" w:hanging="709"/>
      </w:pPr>
      <w:rPr>
        <w:i w:val="false"/>
        <w:b w:val="false"/>
      </w:rPr>
    </w:lvl>
    <w:lvl w:ilvl="1">
      <w:start w:val="1"/>
      <w:pStyle w:val="Heading2"/>
      <w:numFmt w:val="decimal"/>
      <w:lvlText w:val="%1.%2"/>
      <w:lvlJc w:val="left"/>
      <w:pPr>
        <w:tabs>
          <w:tab w:val="num" w:pos="993"/>
        </w:tabs>
        <w:ind w:left="993" w:hanging="709"/>
      </w:pPr>
      <w:rPr>
        <w:i w:val="false"/>
        <w:b w:val="false"/>
      </w:rPr>
    </w:lvl>
    <w:lvl w:ilvl="2">
      <w:start w:val="1"/>
      <w:pStyle w:val="Heading3"/>
      <w:numFmt w:val="decimal"/>
      <w:lvlText w:val="%1.%2.%3"/>
      <w:lvlJc w:val="left"/>
      <w:pPr>
        <w:tabs>
          <w:tab w:val="num" w:pos="1559"/>
        </w:tabs>
        <w:ind w:left="1559" w:hanging="850"/>
      </w:pPr>
      <w:rPr>
        <w:i w:val="false"/>
        <w:b w:val="false"/>
      </w:rPr>
    </w:lvl>
    <w:lvl w:ilvl="3">
      <w:start w:val="1"/>
      <w:pStyle w:val="Heading4"/>
      <w:numFmt w:val="upperLetter"/>
      <w:lvlText w:val="(%4)"/>
      <w:lvlJc w:val="left"/>
      <w:pPr>
        <w:tabs>
          <w:tab w:val="num" w:pos="2268"/>
        </w:tabs>
        <w:ind w:left="2268" w:hanging="709"/>
      </w:pPr>
      <w:rPr>
        <w:i w:val="false"/>
        <w:b w:val="false"/>
      </w:rPr>
    </w:lvl>
    <w:lvl w:ilvl="4">
      <w:start w:val="1"/>
      <w:pStyle w:val="Heading5"/>
      <w:numFmt w:val="decimal"/>
      <w:lvlText w:val="(%5)"/>
      <w:lvlJc w:val="left"/>
      <w:pPr>
        <w:tabs>
          <w:tab w:val="num" w:pos="2977"/>
        </w:tabs>
        <w:ind w:left="2977" w:hanging="709"/>
      </w:pPr>
      <w:rPr>
        <w:i w:val="false"/>
        <w:b w:val="false"/>
      </w:rPr>
    </w:lvl>
    <w:lvl w:ilvl="5">
      <w:start w:val="1"/>
      <w:pStyle w:val="Heading6"/>
      <w:numFmt w:val="lowerLetter"/>
      <w:lvlText w:val="(%6)"/>
      <w:lvlJc w:val="left"/>
      <w:pPr>
        <w:tabs>
          <w:tab w:val="num" w:pos="3686"/>
        </w:tabs>
        <w:ind w:left="3686" w:hanging="709"/>
      </w:pPr>
      <w:rPr>
        <w:i w:val="false"/>
        <w:b w:val="false"/>
      </w:rPr>
    </w:lvl>
    <w:lvl w:ilvl="6">
      <w:start w:val="1"/>
      <w:pStyle w:val="Heading7"/>
      <w:numFmt w:val="lowerRoman"/>
      <w:lvlText w:val="(%7)"/>
      <w:lvlJc w:val="left"/>
      <w:pPr>
        <w:tabs>
          <w:tab w:val="num" w:pos="4394"/>
        </w:tabs>
        <w:ind w:left="4394" w:hanging="708"/>
      </w:pPr>
      <w:rPr>
        <w:i w:val="false"/>
        <w:b w:val="false"/>
      </w:rPr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ahoma" w:cs="Noto Sans Devanagari" w:asciiTheme="minorAscii" w:hAnsiTheme="minorHAnsi"/>
        <w:color w:val="000000"/>
        <w:sz w:val="22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bidi w:val="0"/>
      <w:spacing w:lineRule="auto" w:line="264" w:before="0" w:after="160"/>
      <w:ind w:hanging="0" w:left="0" w:right="0"/>
      <w:jc w:val="left"/>
    </w:pPr>
    <w:rPr>
      <w:rFonts w:ascii="Calibri" w:hAnsi="Calibri" w:asciiTheme="minorAscii" w:hAnsiTheme="minorHAnsi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Heading1">
    <w:name w:val="Heading 1"/>
    <w:basedOn w:val="BodyText"/>
    <w:next w:val="Normal"/>
    <w:uiPriority w:val="9"/>
    <w:qFormat/>
    <w:pPr>
      <w:keepNext w:val="true"/>
      <w:numPr>
        <w:ilvl w:val="0"/>
        <w:numId w:val="1"/>
      </w:numPr>
      <w:tabs>
        <w:tab w:val="clear" w:pos="708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lineRule="auto" w:line="240" w:before="200" w:after="100"/>
      <w:outlineLvl w:val="0"/>
    </w:pPr>
    <w:rPr>
      <w:rFonts w:ascii="Arial" w:hAnsi="Arial"/>
      <w:b/>
      <w:caps/>
      <w:sz w:val="20"/>
    </w:rPr>
  </w:style>
  <w:style w:type="paragraph" w:styleId="Heading2">
    <w:name w:val="Heading 2"/>
    <w:basedOn w:val="BodyText"/>
    <w:next w:val="BodyText21"/>
    <w:uiPriority w:val="9"/>
    <w:qFormat/>
    <w:pPr>
      <w:keepNext w:val="true"/>
      <w:numPr>
        <w:ilvl w:val="1"/>
        <w:numId w:val="1"/>
      </w:numPr>
      <w:tabs>
        <w:tab w:val="clear" w:pos="708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lineRule="auto" w:line="240" w:before="200" w:after="100"/>
      <w:outlineLvl w:val="1"/>
    </w:pPr>
    <w:rPr>
      <w:rFonts w:ascii="Arial" w:hAnsi="Arial"/>
      <w:b/>
      <w:sz w:val="20"/>
    </w:rPr>
  </w:style>
  <w:style w:type="paragraph" w:styleId="Heading3">
    <w:name w:val="Heading 3"/>
    <w:basedOn w:val="BodyText"/>
    <w:next w:val="BodyText31"/>
    <w:uiPriority w:val="9"/>
    <w:qFormat/>
    <w:pPr>
      <w:keepNext w:val="true"/>
      <w:numPr>
        <w:ilvl w:val="2"/>
        <w:numId w:val="1"/>
      </w:numPr>
      <w:tabs>
        <w:tab w:val="clear" w:pos="708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lineRule="auto" w:line="240" w:before="200" w:after="100"/>
      <w:outlineLvl w:val="2"/>
    </w:pPr>
    <w:rPr>
      <w:rFonts w:ascii="Arial" w:hAnsi="Arial"/>
      <w:b/>
      <w:sz w:val="20"/>
    </w:rPr>
  </w:style>
  <w:style w:type="paragraph" w:styleId="Heading4">
    <w:name w:val="Heading 4"/>
    <w:basedOn w:val="BodyText"/>
    <w:next w:val="Normal"/>
    <w:uiPriority w:val="9"/>
    <w:qFormat/>
    <w:pPr>
      <w:keepNext w:val="true"/>
      <w:numPr>
        <w:ilvl w:val="3"/>
        <w:numId w:val="1"/>
      </w:numPr>
      <w:tabs>
        <w:tab w:val="clear" w:pos="708"/>
        <w:tab w:val="left" w:pos="2977" w:leader="none"/>
        <w:tab w:val="left" w:pos="3686" w:leader="none"/>
        <w:tab w:val="left" w:pos="4394" w:leader="none"/>
        <w:tab w:val="right" w:pos="8789" w:leader="none"/>
      </w:tabs>
      <w:spacing w:lineRule="auto" w:line="240" w:before="200" w:after="100"/>
      <w:outlineLvl w:val="3"/>
    </w:pPr>
    <w:rPr>
      <w:rFonts w:ascii="Arial" w:hAnsi="Arial"/>
      <w:b/>
      <w:sz w:val="20"/>
    </w:rPr>
  </w:style>
  <w:style w:type="paragraph" w:styleId="Heading5">
    <w:name w:val="Heading 5"/>
    <w:basedOn w:val="BodyText"/>
    <w:next w:val="Normal"/>
    <w:uiPriority w:val="9"/>
    <w:qFormat/>
    <w:pPr>
      <w:keepNext w:val="true"/>
      <w:numPr>
        <w:ilvl w:val="4"/>
        <w:numId w:val="1"/>
      </w:numPr>
      <w:tabs>
        <w:tab w:val="clear" w:pos="708"/>
        <w:tab w:val="left" w:pos="4394" w:leader="none"/>
        <w:tab w:val="right" w:pos="8789" w:leader="none"/>
      </w:tabs>
      <w:spacing w:lineRule="auto" w:line="240" w:before="200" w:after="100"/>
      <w:outlineLvl w:val="4"/>
    </w:pPr>
    <w:rPr>
      <w:rFonts w:ascii="Arial" w:hAnsi="Arial"/>
      <w:b/>
      <w:sz w:val="20"/>
    </w:rPr>
  </w:style>
  <w:style w:type="paragraph" w:styleId="Heading6">
    <w:name w:val="Heading 6"/>
    <w:basedOn w:val="BodyText"/>
    <w:next w:val="Normal"/>
    <w:uiPriority w:val="9"/>
    <w:qFormat/>
    <w:pPr>
      <w:keepNext w:val="true"/>
      <w:numPr>
        <w:ilvl w:val="5"/>
        <w:numId w:val="1"/>
      </w:numPr>
      <w:tabs>
        <w:tab w:val="clear" w:pos="708"/>
        <w:tab w:val="left" w:pos="4394" w:leader="none"/>
        <w:tab w:val="right" w:pos="8789" w:leader="none"/>
      </w:tabs>
      <w:spacing w:lineRule="auto" w:line="240" w:before="200" w:after="100"/>
      <w:outlineLvl w:val="5"/>
    </w:pPr>
    <w:rPr>
      <w:rFonts w:ascii="Arial" w:hAnsi="Arial"/>
      <w:b/>
      <w:sz w:val="20"/>
    </w:rPr>
  </w:style>
  <w:style w:type="paragraph" w:styleId="Heading7">
    <w:name w:val="Heading 7"/>
    <w:basedOn w:val="BodyText"/>
    <w:next w:val="Normal"/>
    <w:uiPriority w:val="9"/>
    <w:qFormat/>
    <w:pPr>
      <w:keepNext w:val="true"/>
      <w:numPr>
        <w:ilvl w:val="6"/>
        <w:numId w:val="1"/>
      </w:numPr>
      <w:tabs>
        <w:tab w:val="clear" w:pos="708"/>
        <w:tab w:val="right" w:pos="8789" w:leader="none"/>
      </w:tabs>
      <w:spacing w:lineRule="auto" w:line="240" w:before="200" w:after="100"/>
      <w:ind w:hanging="709" w:left="4395"/>
      <w:outlineLvl w:val="6"/>
    </w:pPr>
    <w:rPr>
      <w:rFonts w:ascii="Arial" w:hAnsi="Arial"/>
      <w:b/>
      <w:sz w:val="20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2">
    <w:name w:val="Заголовок 2 Знак"/>
    <w:basedOn w:val="DefaultParagraphFont"/>
    <w:link w:val="21"/>
    <w:qFormat/>
    <w:rPr>
      <w:rFonts w:ascii="Arial" w:hAnsi="Arial"/>
      <w:b/>
      <w:sz w:val="20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4">
    <w:name w:val="Заголовок 4 Знак"/>
    <w:basedOn w:val="DefaultParagraphFont"/>
    <w:link w:val="41"/>
    <w:qFormat/>
    <w:rPr>
      <w:rFonts w:ascii="Arial" w:hAnsi="Arial"/>
      <w:b/>
      <w:sz w:val="20"/>
    </w:rPr>
  </w:style>
  <w:style w:type="character" w:styleId="Heading71">
    <w:name w:val="Heading 71"/>
    <w:basedOn w:val="Textbody"/>
    <w:qFormat/>
    <w:rPr>
      <w:rFonts w:ascii="Arial" w:hAnsi="Arial"/>
      <w:b/>
      <w:sz w:val="20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3">
    <w:name w:val="Заголовок 3 Знак"/>
    <w:basedOn w:val="DefaultParagraphFont"/>
    <w:link w:val="31"/>
    <w:qFormat/>
    <w:rPr>
      <w:rFonts w:ascii="Arial" w:hAnsi="Arial"/>
      <w:b/>
      <w:sz w:val="20"/>
    </w:rPr>
  </w:style>
  <w:style w:type="character" w:styleId="Heading31">
    <w:name w:val="Heading 31"/>
    <w:basedOn w:val="Textbody"/>
    <w:qFormat/>
    <w:rPr>
      <w:rFonts w:ascii="Arial" w:hAnsi="Arial"/>
      <w:b/>
      <w:sz w:val="20"/>
    </w:rPr>
  </w:style>
  <w:style w:type="character" w:styleId="Style7">
    <w:name w:val="Заголовок"/>
    <w:link w:val="11"/>
    <w:qFormat/>
    <w:rPr>
      <w:rFonts w:ascii="PT Astra Serif" w:hAnsi="PT Astra Serif"/>
      <w:sz w:val="28"/>
    </w:rPr>
  </w:style>
  <w:style w:type="character" w:styleId="Style8">
    <w:name w:val="Указатель"/>
    <w:link w:val="12"/>
    <w:qFormat/>
    <w:rPr>
      <w:rFonts w:ascii="PT Astra Serif" w:hAnsi="PT Astra Serif"/>
    </w:rPr>
  </w:style>
  <w:style w:type="character" w:styleId="Style9">
    <w:name w:val="Колонтитул"/>
    <w:link w:val="13"/>
    <w:qFormat/>
    <w:rPr/>
  </w:style>
  <w:style w:type="character" w:styleId="BodyText2">
    <w:name w:val="Body Text 2"/>
    <w:link w:val="BodyText21"/>
    <w:qFormat/>
    <w:rPr/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Textbody">
    <w:name w:val="Text body"/>
    <w:qFormat/>
    <w:rPr/>
  </w:style>
  <w:style w:type="character" w:styleId="ConsPlusNormal">
    <w:name w:val="ConsPlusNormal"/>
    <w:link w:val="ConsPlusNormal1"/>
    <w:qFormat/>
    <w:rPr>
      <w:rFonts w:ascii="Times New Roman" w:hAnsi="Times New Roman"/>
      <w:color w:val="000000"/>
      <w:sz w:val="24"/>
    </w:rPr>
  </w:style>
  <w:style w:type="character" w:styleId="Heading51">
    <w:name w:val="Heading 51"/>
    <w:basedOn w:val="Textbody"/>
    <w:qFormat/>
    <w:rPr>
      <w:rFonts w:ascii="Arial" w:hAnsi="Arial"/>
      <w:b/>
      <w:sz w:val="20"/>
    </w:rPr>
  </w:style>
  <w:style w:type="character" w:styleId="5">
    <w:name w:val="Заголовок 5 Знак"/>
    <w:basedOn w:val="DefaultParagraphFont"/>
    <w:link w:val="51"/>
    <w:qFormat/>
    <w:rPr>
      <w:rFonts w:ascii="Arial" w:hAnsi="Arial"/>
      <w:b/>
      <w:sz w:val="20"/>
    </w:rPr>
  </w:style>
  <w:style w:type="character" w:styleId="Style10">
    <w:name w:val="Верхний колонтитул Знак"/>
    <w:basedOn w:val="DefaultParagraphFont"/>
    <w:link w:val="14"/>
    <w:qFormat/>
    <w:rPr/>
  </w:style>
  <w:style w:type="character" w:styleId="Heading11">
    <w:name w:val="Heading 11"/>
    <w:basedOn w:val="Textbody"/>
    <w:qFormat/>
    <w:rPr>
      <w:rFonts w:ascii="Arial" w:hAnsi="Arial"/>
      <w:b/>
      <w:caps/>
      <w:sz w:val="20"/>
    </w:rPr>
  </w:style>
  <w:style w:type="character" w:styleId="1">
    <w:name w:val="Заголовок 1 Знак"/>
    <w:basedOn w:val="DefaultParagraphFont"/>
    <w:link w:val="111"/>
    <w:qFormat/>
    <w:rPr>
      <w:rFonts w:ascii="Arial" w:hAnsi="Arial"/>
      <w:b/>
      <w:caps/>
      <w:sz w:val="20"/>
    </w:rPr>
  </w:style>
  <w:style w:type="character" w:styleId="Hyperlink">
    <w:name w:val="Hyperlink"/>
    <w:basedOn w:val="DefaultParagraphFont"/>
    <w:rPr>
      <w:color w:themeColor="hyperlink" w:val="0563C1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Style11">
    <w:name w:val="Нижний колонтитул Знак"/>
    <w:basedOn w:val="DefaultParagraphFont"/>
    <w:link w:val="15"/>
    <w:qFormat/>
    <w:rPr/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DefaultParagraphFont">
    <w:name w:val="Default Paragraph Font"/>
    <w:link w:val="DefaultParagraphFont1"/>
    <w:qFormat/>
    <w:rPr/>
  </w:style>
  <w:style w:type="character" w:styleId="Style12">
    <w:name w:val="Основной текст Знак"/>
    <w:basedOn w:val="DefaultParagraphFont"/>
    <w:link w:val="16"/>
    <w:qFormat/>
    <w:rPr/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ListParagraph">
    <w:name w:val="List Paragraph"/>
    <w:link w:val="ListParagraph1"/>
    <w:qFormat/>
    <w:rPr/>
  </w:style>
  <w:style w:type="character" w:styleId="Style13">
    <w:name w:val="Обычный (веб)"/>
    <w:link w:val="17"/>
    <w:qFormat/>
    <w:rPr>
      <w:rFonts w:ascii="Times New Roman" w:hAnsi="Times New Roman"/>
      <w:sz w:val="24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Caption1">
    <w:name w:val="Caption1"/>
    <w:qFormat/>
    <w:rPr>
      <w:rFonts w:ascii="PT Astra Serif" w:hAnsi="PT Astra Serif"/>
      <w:i/>
      <w:sz w:val="24"/>
    </w:rPr>
  </w:style>
  <w:style w:type="character" w:styleId="List1">
    <w:name w:val="List1"/>
    <w:basedOn w:val="Textbody"/>
    <w:qFormat/>
    <w:rPr>
      <w:rFonts w:ascii="PT Astra Serif" w:hAnsi="PT Astra Serif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Default">
    <w:name w:val="Default"/>
    <w:link w:val="Default1"/>
    <w:qFormat/>
    <w:rPr>
      <w:rFonts w:ascii="Times New Roman" w:hAnsi="Times New Roman"/>
      <w:color w:val="000000"/>
      <w:sz w:val="24"/>
    </w:rPr>
  </w:style>
  <w:style w:type="character" w:styleId="Footer1">
    <w:name w:val="Footer1"/>
    <w:qFormat/>
    <w:rPr/>
  </w:style>
  <w:style w:type="character" w:styleId="6">
    <w:name w:val="Заголовок 6 Знак"/>
    <w:basedOn w:val="DefaultParagraphFont"/>
    <w:link w:val="61"/>
    <w:qFormat/>
    <w:rPr>
      <w:rFonts w:ascii="Arial" w:hAnsi="Arial"/>
      <w:b/>
      <w:sz w:val="20"/>
    </w:rPr>
  </w:style>
  <w:style w:type="character" w:styleId="Subtitle1">
    <w:name w:val="Subtitle1"/>
    <w:qFormat/>
    <w:rPr>
      <w:rFonts w:ascii="XO Thames" w:hAnsi="XO Thames"/>
      <w:i/>
      <w:sz w:val="24"/>
    </w:rPr>
  </w:style>
  <w:style w:type="character" w:styleId="Header1">
    <w:name w:val="Header1"/>
    <w:qFormat/>
    <w:rPr/>
  </w:style>
  <w:style w:type="character" w:styleId="Title1">
    <w:name w:val="Title1"/>
    <w:qFormat/>
    <w:rPr>
      <w:rFonts w:ascii="XO Thames" w:hAnsi="XO Thames"/>
      <w:b/>
      <w:caps/>
      <w:sz w:val="40"/>
    </w:rPr>
  </w:style>
  <w:style w:type="character" w:styleId="Heading41">
    <w:name w:val="Heading 41"/>
    <w:basedOn w:val="Textbody"/>
    <w:qFormat/>
    <w:rPr>
      <w:rFonts w:ascii="Arial" w:hAnsi="Arial"/>
      <w:b/>
      <w:sz w:val="20"/>
    </w:rPr>
  </w:style>
  <w:style w:type="character" w:styleId="Heading21">
    <w:name w:val="Heading 21"/>
    <w:basedOn w:val="Textbody"/>
    <w:qFormat/>
    <w:rPr>
      <w:rFonts w:ascii="Arial" w:hAnsi="Arial"/>
      <w:b/>
      <w:sz w:val="20"/>
    </w:rPr>
  </w:style>
  <w:style w:type="character" w:styleId="BodyText3">
    <w:name w:val="Body Text 3"/>
    <w:link w:val="BodyText31"/>
    <w:qFormat/>
    <w:rPr>
      <w:sz w:val="16"/>
    </w:rPr>
  </w:style>
  <w:style w:type="character" w:styleId="7">
    <w:name w:val="Заголовок 7 Знак"/>
    <w:basedOn w:val="DefaultParagraphFont"/>
    <w:link w:val="71"/>
    <w:qFormat/>
    <w:rPr>
      <w:rFonts w:ascii="Arial" w:hAnsi="Arial"/>
      <w:b/>
      <w:sz w:val="20"/>
    </w:rPr>
  </w:style>
  <w:style w:type="character" w:styleId="Heading61">
    <w:name w:val="Heading 61"/>
    <w:basedOn w:val="Textbody"/>
    <w:qFormat/>
    <w:rPr>
      <w:rFonts w:ascii="Arial" w:hAnsi="Arial"/>
      <w:b/>
      <w:sz w:val="20"/>
    </w:rPr>
  </w:style>
  <w:style w:type="paragraph" w:styleId="11">
    <w:name w:val="Заголовок1"/>
    <w:basedOn w:val="Normal"/>
    <w:next w:val="BodyText"/>
    <w:link w:val="Style7"/>
    <w:qFormat/>
    <w:pPr>
      <w:keepNext w:val="true"/>
      <w:spacing w:before="240" w:after="120"/>
    </w:pPr>
    <w:rPr>
      <w:rFonts w:ascii="PT Astra Serif" w:hAnsi="PT Astra Serif"/>
      <w:sz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ascii="PT Astra Serif" w:hAnsi="PT Astra Serif"/>
    </w:rPr>
  </w:style>
  <w:style w:type="paragraph" w:styleId="Caption">
    <w:name w:val="Caption"/>
    <w:basedOn w:val="Normal"/>
    <w:qFormat/>
    <w:pPr>
      <w:spacing w:before="120" w:after="120"/>
    </w:pPr>
    <w:rPr>
      <w:rFonts w:ascii="PT Astra Serif" w:hAnsi="PT Astra Serif"/>
      <w:i/>
      <w:sz w:val="24"/>
    </w:rPr>
  </w:style>
  <w:style w:type="paragraph" w:styleId="12">
    <w:name w:val="Указатель1"/>
    <w:basedOn w:val="Normal"/>
    <w:link w:val="Style8"/>
    <w:qFormat/>
    <w:pPr/>
    <w:rPr>
      <w:rFonts w:ascii="PT Astra Serif" w:hAnsi="PT Astra Serif"/>
    </w:rPr>
  </w:style>
  <w:style w:type="paragraph" w:styleId="TOC2">
    <w:name w:val="TOC 2"/>
    <w:next w:val="Normal"/>
    <w:uiPriority w:val="39"/>
    <w:pPr>
      <w:widowControl/>
      <w:bidi w:val="0"/>
      <w:spacing w:lineRule="auto" w:line="240" w:before="0" w:after="0"/>
      <w:ind w:hanging="0" w:left="2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21">
    <w:name w:val="Заголовок 2 Знак1"/>
    <w:basedOn w:val="DefaultParagraphFont1"/>
    <w:link w:val="2"/>
    <w:qFormat/>
    <w:pPr/>
    <w:rPr>
      <w:rFonts w:ascii="Arial" w:hAnsi="Arial"/>
      <w:b/>
      <w:sz w:val="20"/>
    </w:rPr>
  </w:style>
  <w:style w:type="paragraph" w:styleId="TOC4">
    <w:name w:val="TOC 4"/>
    <w:next w:val="Normal"/>
    <w:uiPriority w:val="39"/>
    <w:pPr>
      <w:widowControl/>
      <w:bidi w:val="0"/>
      <w:spacing w:lineRule="auto" w:line="240" w:before="0" w:after="0"/>
      <w:ind w:hanging="0" w:left="6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Заголовок 4 Знак1"/>
    <w:basedOn w:val="DefaultParagraphFont1"/>
    <w:link w:val="4"/>
    <w:qFormat/>
    <w:pPr/>
    <w:rPr>
      <w:rFonts w:ascii="Arial" w:hAnsi="Arial"/>
      <w:b/>
      <w:sz w:val="20"/>
    </w:rPr>
  </w:style>
  <w:style w:type="paragraph" w:styleId="TOC6">
    <w:name w:val="TOC 6"/>
    <w:next w:val="Normal"/>
    <w:uiPriority w:val="39"/>
    <w:pPr>
      <w:widowControl/>
      <w:bidi w:val="0"/>
      <w:spacing w:lineRule="auto" w:line="240" w:before="0" w:after="0"/>
      <w:ind w:hanging="0" w:left="10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7">
    <w:name w:val="TOC 7"/>
    <w:next w:val="Normal"/>
    <w:uiPriority w:val="39"/>
    <w:pPr>
      <w:widowControl/>
      <w:bidi w:val="0"/>
      <w:spacing w:lineRule="auto" w:line="240" w:before="0" w:after="0"/>
      <w:ind w:hanging="0" w:left="12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31">
    <w:name w:val="Заголовок 3 Знак1"/>
    <w:basedOn w:val="DefaultParagraphFont1"/>
    <w:link w:val="3"/>
    <w:qFormat/>
    <w:pPr/>
    <w:rPr>
      <w:rFonts w:ascii="Arial" w:hAnsi="Arial"/>
      <w:b/>
      <w:sz w:val="20"/>
    </w:rPr>
  </w:style>
  <w:style w:type="paragraph" w:styleId="13">
    <w:name w:val="Колонтитул1"/>
    <w:link w:val="Style9"/>
    <w:qFormat/>
    <w:pPr>
      <w:widowControl/>
      <w:bidi w:val="0"/>
      <w:spacing w:lineRule="auto" w:line="240" w:before="0" w:after="0"/>
      <w:ind w:hanging="0" w:left="0" w:right="0"/>
      <w:jc w:val="both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BodyText21">
    <w:name w:val="Body Text 21"/>
    <w:basedOn w:val="Normal"/>
    <w:link w:val="BodyText2"/>
    <w:qFormat/>
    <w:pPr>
      <w:spacing w:lineRule="auto" w:line="480" w:before="0" w:after="120"/>
    </w:pPr>
    <w:rPr/>
  </w:style>
  <w:style w:type="paragraph" w:styleId="TOC3">
    <w:name w:val="TOC 3"/>
    <w:next w:val="Normal"/>
    <w:uiPriority w:val="39"/>
    <w:pPr>
      <w:widowControl/>
      <w:bidi w:val="0"/>
      <w:spacing w:lineRule="auto" w:line="240" w:before="0" w:after="0"/>
      <w:ind w:hanging="0" w:left="4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ConsPlusNormal1">
    <w:name w:val="ConsPlusNormal1"/>
    <w:link w:val="ConsPlusNormal"/>
    <w:qFormat/>
    <w:pPr>
      <w:widowControl w:val="fals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51">
    <w:name w:val="Заголовок 5 Знак1"/>
    <w:basedOn w:val="DefaultParagraphFont1"/>
    <w:link w:val="5"/>
    <w:qFormat/>
    <w:pPr/>
    <w:rPr>
      <w:rFonts w:ascii="Arial" w:hAnsi="Arial"/>
      <w:b/>
      <w:sz w:val="20"/>
    </w:rPr>
  </w:style>
  <w:style w:type="paragraph" w:styleId="14">
    <w:name w:val="Верхний колонтитул Знак1"/>
    <w:basedOn w:val="DefaultParagraphFont1"/>
    <w:link w:val="Style10"/>
    <w:qFormat/>
    <w:pPr/>
    <w:rPr/>
  </w:style>
  <w:style w:type="paragraph" w:styleId="111">
    <w:name w:val="Заголовок 1 Знак1"/>
    <w:basedOn w:val="DefaultParagraphFont1"/>
    <w:link w:val="1"/>
    <w:qFormat/>
    <w:pPr/>
    <w:rPr>
      <w:rFonts w:ascii="Arial" w:hAnsi="Arial"/>
      <w:b/>
      <w:caps/>
      <w:sz w:val="20"/>
    </w:rPr>
  </w:style>
  <w:style w:type="paragraph" w:styleId="Internetlink">
    <w:name w:val="Internet link"/>
    <w:basedOn w:val="DefaultParagraphFont1"/>
    <w:qFormat/>
    <w:pPr/>
    <w:rPr>
      <w:color w:themeColor="hyperlink" w:val="0563C1"/>
      <w:u w:val="single"/>
    </w:rPr>
  </w:style>
  <w:style w:type="paragraph" w:styleId="Footnote1">
    <w:name w:val="Footnote1"/>
    <w:link w:val="Footnote"/>
    <w:qFormat/>
    <w:pPr>
      <w:widowControl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TOC1">
    <w:name w:val="TOC 1"/>
    <w:next w:val="Normal"/>
    <w:uiPriority w:val="39"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15">
    <w:name w:val="Нижний колонтитул Знак1"/>
    <w:basedOn w:val="DefaultParagraphFont1"/>
    <w:link w:val="Style11"/>
    <w:qFormat/>
    <w:pPr/>
    <w:rPr/>
  </w:style>
  <w:style w:type="paragraph" w:styleId="DefaultParagraphFont1">
    <w:name w:val="Default Paragraph Font1"/>
    <w:link w:val="DefaultParagraphFont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16">
    <w:name w:val="Основной текст Знак1"/>
    <w:basedOn w:val="DefaultParagraphFont1"/>
    <w:link w:val="Style12"/>
    <w:qFormat/>
    <w:pPr/>
    <w:rPr/>
  </w:style>
  <w:style w:type="paragraph" w:styleId="TOC9">
    <w:name w:val="TOC 9"/>
    <w:next w:val="Normal"/>
    <w:uiPriority w:val="39"/>
    <w:pPr>
      <w:widowControl/>
      <w:bidi w:val="0"/>
      <w:spacing w:lineRule="auto" w:line="240" w:before="0" w:after="0"/>
      <w:ind w:hanging="0" w:left="16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Paragraph1">
    <w:name w:val="List Paragraph1"/>
    <w:basedOn w:val="Normal"/>
    <w:link w:val="ListParagraph"/>
    <w:qFormat/>
    <w:pPr>
      <w:spacing w:before="0" w:after="160"/>
      <w:ind w:hanging="0" w:left="720"/>
      <w:contextualSpacing/>
    </w:pPr>
    <w:rPr/>
  </w:style>
  <w:style w:type="paragraph" w:styleId="17">
    <w:name w:val="Обычный (веб)1"/>
    <w:basedOn w:val="Normal"/>
    <w:link w:val="Style13"/>
    <w:qFormat/>
    <w:pPr>
      <w:spacing w:lineRule="auto" w:line="240" w:before="280" w:after="280"/>
    </w:pPr>
    <w:rPr>
      <w:rFonts w:ascii="Times New Roman" w:hAnsi="Times New Roman"/>
      <w:sz w:val="24"/>
    </w:rPr>
  </w:style>
  <w:style w:type="paragraph" w:styleId="TOC8">
    <w:name w:val="TOC 8"/>
    <w:next w:val="Normal"/>
    <w:uiPriority w:val="39"/>
    <w:pPr>
      <w:widowControl/>
      <w:bidi w:val="0"/>
      <w:spacing w:lineRule="auto" w:line="240" w:before="0" w:after="0"/>
      <w:ind w:hanging="0" w:left="14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5">
    <w:name w:val="TOC 5"/>
    <w:next w:val="Normal"/>
    <w:uiPriority w:val="39"/>
    <w:pPr>
      <w:widowControl/>
      <w:bidi w:val="0"/>
      <w:spacing w:lineRule="auto" w:line="240" w:before="0" w:after="0"/>
      <w:ind w:hanging="0" w:left="8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1">
    <w:name w:val="Default1"/>
    <w:link w:val="Default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61">
    <w:name w:val="Заголовок 6 Знак1"/>
    <w:basedOn w:val="DefaultParagraphFont1"/>
    <w:link w:val="6"/>
    <w:qFormat/>
    <w:pPr/>
    <w:rPr>
      <w:rFonts w:ascii="Arial" w:hAnsi="Arial"/>
      <w:b/>
      <w:sz w:val="20"/>
    </w:rPr>
  </w:style>
  <w:style w:type="paragraph" w:styleId="Subtitle">
    <w:name w:val="Subtitle"/>
    <w:next w:val="Normal"/>
    <w:uiPriority w:val="11"/>
    <w:qFormat/>
    <w:pPr>
      <w:widowControl/>
      <w:bidi w:val="0"/>
      <w:spacing w:lineRule="auto" w:line="240" w:before="0" w:after="0"/>
      <w:ind w:hanging="0" w:left="0" w:right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Title">
    <w:name w:val="Title"/>
    <w:next w:val="Normal"/>
    <w:uiPriority w:val="10"/>
    <w:qFormat/>
    <w:pPr>
      <w:widowControl/>
      <w:bidi w:val="0"/>
      <w:spacing w:lineRule="auto" w:line="240" w:before="567" w:after="567"/>
      <w:ind w:hanging="0" w:left="0" w:right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BodyText31">
    <w:name w:val="Body Text 31"/>
    <w:basedOn w:val="Normal"/>
    <w:link w:val="BodyText3"/>
    <w:qFormat/>
    <w:pPr>
      <w:spacing w:before="0" w:after="120"/>
    </w:pPr>
    <w:rPr>
      <w:sz w:val="16"/>
    </w:rPr>
  </w:style>
  <w:style w:type="paragraph" w:styleId="71">
    <w:name w:val="Заголовок 7 Знак1"/>
    <w:basedOn w:val="DefaultParagraphFont1"/>
    <w:link w:val="7"/>
    <w:qFormat/>
    <w:pPr/>
    <w:rPr>
      <w:rFonts w:ascii="Arial" w:hAnsi="Arial"/>
      <w:b/>
      <w:sz w:val="20"/>
    </w:rPr>
  </w:style>
  <w:style w:type="table" w:styleId="Style_49">
    <w:name w:val="Table Grid"/>
    <w:basedOn w:val="Style_3"/>
    <w:pPr>
      <w:spacing w:after="0" w:line="240" w:lineRule="auto"/>
    </w:pPr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  <w:style w:type="table" w:default="1" w:styleId="Style_3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tileRect l="0" t="0" r="0" b="0"/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LibreOffice/7.6.7.2$Linux_X86_64 LibreOffice_project/60$Build-2</Application>
  <AppVersion>15.0000</AppVersion>
  <Pages>4</Pages>
  <Words>1062</Words>
  <Characters>7092</Characters>
  <CharactersWithSpaces>8022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2026-05-21T13:01:06Z</dcterms:modified>
  <cp:revision>1</cp:revision>
  <dc:subject/>
  <dc:title/>
</cp:coreProperties>
</file>