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ПРОТОКОЛ № 32616071688/1</w:t>
      </w:r>
    </w:p>
    <w:p>
      <w:pPr>
        <w:pStyle w:val="BodyText"/>
        <w:widowControl w:val="false"/>
        <w:numPr>
          <w:ilvl w:val="0"/>
          <w:numId w:val="0"/>
        </w:numPr>
        <w:spacing w:before="0" w:after="0"/>
        <w:ind w:hanging="0" w:left="0"/>
        <w:jc w:val="center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заседания закупочной комиссии по подведению итогов закупки на право заключения договора на поставку орехов и сухофруктов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left="0"/>
        <w:outlineLvl w:val="0"/>
        <w:rPr>
          <w:rFonts w:ascii="Tinos" w:hAnsi="Tinos"/>
          <w:b/>
          <w:bCs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</w:r>
    </w:p>
    <w:tbl>
      <w:tblPr>
        <w:tblW w:w="1003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773"/>
        <w:gridCol w:w="7262"/>
      </w:tblGrid>
      <w:tr>
        <w:trPr/>
        <w:tc>
          <w:tcPr>
            <w:tcW w:w="2773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Cs/>
                <w:sz w:val="24"/>
                <w:szCs w:val="24"/>
                <w:lang w:eastAsia="en-US"/>
              </w:rPr>
              <w:t>г. Полярные Зори</w:t>
            </w:r>
          </w:p>
        </w:tc>
        <w:tc>
          <w:tcPr>
            <w:tcW w:w="7262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nos" w:hAnsi="Tinos"/>
                <w:bCs/>
                <w:sz w:val="24"/>
                <w:szCs w:val="24"/>
                <w:lang w:eastAsia="en-US"/>
              </w:rPr>
              <w:t>«11» июня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nos" w:hAnsi="Tinos"/>
          <w:b/>
          <w:bCs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sz w:val="24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№217) (далее – ЕОСЗ), в редакции, указанной в документации, с использованием функционала </w:t>
      </w:r>
      <w:r>
        <w:rPr>
          <w:rFonts w:ascii="Tinos" w:hAnsi="Tinos"/>
          <w:sz w:val="24"/>
          <w:szCs w:val="24"/>
        </w:rPr>
        <w:t>ЭТП АКЦИОНЕРНОЕ ОБЩЕСТВО «ЭЛЕКТРОННЫЕ ТОРГОВЫЕ СИСТЕМЫ</w:t>
      </w:r>
      <w:r>
        <w:rPr>
          <w:rFonts w:ascii="Tinos" w:hAnsi="Tinos"/>
          <w:bCs/>
          <w:sz w:val="24"/>
          <w:szCs w:val="24"/>
        </w:rPr>
        <w:t>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nos" w:hAnsi="Tinos"/>
          <w:b/>
          <w:bCs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sz w:val="24"/>
          <w:szCs w:val="24"/>
        </w:rPr>
        <w:t>Номер годовой программы закупок: 25429/6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  <w:t>Предмет закупки: право заключения договора на поставку орехов и сухофруктов.</w:t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  <w:t>Срок поставки товара: с момента заключения договора в течение 3 (трех) месяцев.</w:t>
      </w:r>
    </w:p>
    <w:p>
      <w:pPr>
        <w:pStyle w:val="Normal"/>
        <w:keepLines w:val="false"/>
        <w:rPr>
          <w:rFonts w:ascii="Tinos" w:hAnsi="Tinos" w:eastAsia="Calibri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</w:r>
    </w:p>
    <w:p>
      <w:pPr>
        <w:pStyle w:val="Normal"/>
        <w:jc w:val="both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  <w:t>Начальная (максимальная) цена договора:</w:t>
      </w:r>
      <w:r>
        <w:rPr>
          <w:rFonts w:ascii="Tinos" w:hAnsi="Tinos"/>
          <w:sz w:val="24"/>
          <w:szCs w:val="24"/>
        </w:rPr>
        <w:t xml:space="preserve"> </w:t>
      </w:r>
    </w:p>
    <w:p>
      <w:pPr>
        <w:pStyle w:val="Normal"/>
        <w:widowControl w:val="false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350 000 (Триста пятьдесят тысяч) рублей 00 копеек, включая НДС (НДС 22 %);</w:t>
      </w:r>
    </w:p>
    <w:p>
      <w:pPr>
        <w:pStyle w:val="Normal"/>
        <w:widowControl w:val="false"/>
        <w:jc w:val="both"/>
        <w:rPr>
          <w:rFonts w:ascii="Tinos" w:hAnsi="Tinos"/>
          <w:sz w:val="24"/>
          <w:szCs w:val="24"/>
        </w:rPr>
      </w:pPr>
      <w:r>
        <w:rPr>
          <w:rFonts w:eastAsia="Calibri" w:ascii="Tinos" w:hAnsi="Tinos"/>
          <w:bCs/>
          <w:color w:val="000000"/>
          <w:sz w:val="24"/>
          <w:szCs w:val="24"/>
          <w:shd w:fill="auto" w:val="clear"/>
        </w:rPr>
        <w:t>286 885 (Двести восемьдесят шесть тысяч восемьсот восемьдесят пять) рублей 25 копеек, без учета НДС.</w:t>
      </w:r>
    </w:p>
    <w:p>
      <w:pPr>
        <w:pStyle w:val="Normal"/>
        <w:keepLines w:val="false"/>
        <w:jc w:val="both"/>
        <w:rPr>
          <w:rFonts w:ascii="Tinos" w:hAnsi="Tinos" w:eastAsia="Calibri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/>
      </w:pPr>
      <w:r>
        <w:rPr>
          <w:rFonts w:ascii="Tinos" w:hAnsi="Tinos"/>
          <w:sz w:val="24"/>
          <w:szCs w:val="24"/>
        </w:rPr>
        <w:t xml:space="preserve">Извещение о проведении закупки (закупочная </w:t>
      </w:r>
      <w:r>
        <w:rPr>
          <w:rFonts w:ascii="Tinos" w:hAnsi="Tinos"/>
          <w:color w:val="000000"/>
          <w:sz w:val="24"/>
          <w:szCs w:val="24"/>
          <w:lang w:eastAsia="ar-SA"/>
        </w:rPr>
        <w:t>документация) опубликовано</w:t>
      </w:r>
      <w:r>
        <w:rPr>
          <w:rFonts w:ascii="Tinos" w:hAnsi="Tinos"/>
          <w:sz w:val="24"/>
          <w:szCs w:val="24"/>
        </w:rPr>
        <w:t xml:space="preserve"> «02» июня 2026 года на официальном государственном сайте </w:t>
      </w:r>
      <w:r>
        <w:rPr>
          <w:rStyle w:val="Hyperlink"/>
          <w:rFonts w:ascii="Tinos" w:hAnsi="Tinos"/>
          <w:color w:val="000000"/>
          <w:sz w:val="24"/>
          <w:szCs w:val="24"/>
          <w:u w:val="single"/>
          <w:lang w:val="en-US"/>
        </w:rPr>
        <w:t>http</w:t>
      </w:r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://</w:t>
      </w:r>
      <w:r>
        <w:rPr>
          <w:rStyle w:val="Hyperlink"/>
          <w:rFonts w:ascii="Tinos" w:hAnsi="Tinos"/>
          <w:color w:val="000000"/>
          <w:sz w:val="24"/>
          <w:szCs w:val="24"/>
          <w:u w:val="single"/>
          <w:lang w:val="en-US"/>
        </w:rPr>
        <w:t>www</w:t>
      </w:r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.</w:t>
      </w:r>
      <w:r>
        <w:rPr>
          <w:rStyle w:val="Hyperlink"/>
          <w:rFonts w:ascii="Tinos" w:hAnsi="Tinos"/>
          <w:color w:val="000000"/>
          <w:sz w:val="24"/>
          <w:szCs w:val="24"/>
          <w:u w:val="single"/>
          <w:lang w:val="en-US"/>
        </w:rPr>
        <w:t>zakupki</w:t>
      </w:r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.</w:t>
      </w:r>
      <w:r>
        <w:rPr>
          <w:rStyle w:val="Hyperlink"/>
          <w:rFonts w:ascii="Tinos" w:hAnsi="Tinos"/>
          <w:color w:val="000000"/>
          <w:sz w:val="24"/>
          <w:szCs w:val="24"/>
          <w:u w:val="single"/>
          <w:lang w:val="en-US"/>
        </w:rPr>
        <w:t>gov</w:t>
      </w:r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.</w:t>
      </w:r>
      <w:r>
        <w:rPr>
          <w:rStyle w:val="Hyperlink"/>
          <w:rFonts w:ascii="Tinos" w:hAnsi="Tinos"/>
          <w:color w:val="000000"/>
          <w:sz w:val="24"/>
          <w:szCs w:val="24"/>
          <w:u w:val="single"/>
          <w:lang w:val="en-US"/>
        </w:rPr>
        <w:t>ru</w:t>
      </w:r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/</w:t>
      </w:r>
      <w:r>
        <w:rPr>
          <w:rFonts w:ascii="Tinos" w:hAnsi="Tinos"/>
          <w:color w:val="000000"/>
          <w:sz w:val="24"/>
          <w:szCs w:val="24"/>
        </w:rPr>
        <w:t xml:space="preserve">, закупка № 32616071688, на официальном сайте по закупкам атомной отрасли </w:t>
      </w:r>
      <w:hyperlink r:id="rId2">
        <w:r>
          <w:rPr>
            <w:rStyle w:val="Hyperlink"/>
            <w:rFonts w:ascii="Tinos" w:hAnsi="Tinos"/>
            <w:color w:val="000000"/>
            <w:sz w:val="24"/>
            <w:szCs w:val="24"/>
            <w:u w:val="single"/>
            <w:lang w:val="en-US"/>
          </w:rPr>
          <w:t>http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</w:rPr>
          <w:t>://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  <w:lang w:val="en-US"/>
          </w:rPr>
          <w:t>zakupki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</w:rPr>
          <w:t>.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  <w:lang w:val="en-US"/>
          </w:rPr>
          <w:t>rosatom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</w:rPr>
          <w:t>.</w:t>
        </w:r>
        <w:r>
          <w:rPr>
            <w:rStyle w:val="Hyperlink"/>
            <w:rFonts w:ascii="Tinos" w:hAnsi="Tinos"/>
            <w:color w:val="000000"/>
            <w:sz w:val="24"/>
            <w:szCs w:val="24"/>
            <w:u w:val="single"/>
            <w:lang w:val="en-US"/>
          </w:rPr>
          <w:t>ru</w:t>
        </w:r>
      </w:hyperlink>
      <w:r>
        <w:rPr>
          <w:rStyle w:val="Hyperlink"/>
          <w:rFonts w:ascii="Tinos" w:hAnsi="Tinos"/>
          <w:color w:val="000000"/>
          <w:sz w:val="24"/>
          <w:szCs w:val="24"/>
          <w:u w:val="single"/>
        </w:rPr>
        <w:t>/</w:t>
      </w:r>
      <w:r>
        <w:rPr>
          <w:rFonts w:ascii="Tinos" w:hAnsi="Tinos"/>
          <w:color w:val="000000"/>
          <w:sz w:val="24"/>
          <w:szCs w:val="24"/>
        </w:rPr>
        <w:t>,</w:t>
      </w:r>
      <w:r>
        <w:rPr>
          <w:rFonts w:ascii="Tinos" w:hAnsi="Tinos"/>
          <w:sz w:val="24"/>
          <w:szCs w:val="24"/>
        </w:rPr>
        <w:t xml:space="preserve"> закупка № 208461,</w:t>
      </w:r>
      <w:r>
        <w:rPr>
          <w:rFonts w:ascii="Tinos" w:hAnsi="Tinos"/>
          <w:color w:val="FF000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 xml:space="preserve">на ЭТП АКЦИОНЕРНОЕ ОБЩЕСТВО «ЭЛЕКТРОННЫЕ ТОРГОВЫЕ СИСТЕМЫ», закупка № </w:t>
      </w:r>
      <w:r>
        <w:rPr>
          <w:rFonts w:ascii="Tinos" w:hAnsi="Tinos"/>
          <w:color w:val="000000"/>
          <w:sz w:val="24"/>
          <w:szCs w:val="24"/>
        </w:rPr>
        <w:t>32616071688</w:t>
      </w:r>
      <w:r>
        <w:rPr>
          <w:rFonts w:ascii="Tinos" w:hAnsi="Tinos"/>
          <w:sz w:val="24"/>
          <w:szCs w:val="24"/>
        </w:rPr>
        <w:t>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Заседание закупочной комиссии проводится в очной форме в 10:00 (время московское) «11» июня 2026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color w:val="000000"/>
          <w:sz w:val="24"/>
          <w:szCs w:val="24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color w:val="000000"/>
          <w:sz w:val="24"/>
          <w:szCs w:val="24"/>
          <w:lang w:eastAsia="ar-SA"/>
        </w:rPr>
      </w:pPr>
      <w:r>
        <w:rPr>
          <w:rFonts w:ascii="Tinos" w:hAnsi="Tinos"/>
          <w:color w:val="000000"/>
          <w:sz w:val="24"/>
          <w:szCs w:val="24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2987"/>
        <w:gridCol w:w="7048"/>
      </w:tblGrid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  <w:shd w:fill="auto" w:val="clear"/>
              </w:rPr>
              <w:t>ФИО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  <w:shd w:fill="auto" w:val="clear"/>
              </w:rPr>
              <w:t>Должность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  <w:shd w:fill="auto" w:val="clear"/>
              </w:rPr>
              <w:t>Председатель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Вощиков А.В.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Заместитель генерального директора по общим вопросам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Анисимов</w:t>
            </w:r>
            <w:bookmarkStart w:id="0" w:name="_GoBack"/>
            <w:bookmarkEnd w:id="0"/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 xml:space="preserve"> Н.В.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  <w:shd w:fill="auto" w:val="clear"/>
              </w:rPr>
              <w:t>Члены закупочной комиссии: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Беляев А.А.</w:t>
            </w:r>
          </w:p>
        </w:tc>
        <w:tc>
          <w:tcPr>
            <w:tcW w:w="70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ДГ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Куропаткина С.М.</w:t>
            </w:r>
          </w:p>
        </w:tc>
        <w:tc>
          <w:tcPr>
            <w:tcW w:w="70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 ООЗиМТО</w:t>
            </w:r>
          </w:p>
        </w:tc>
      </w:tr>
      <w:tr>
        <w:trPr/>
        <w:tc>
          <w:tcPr>
            <w:tcW w:w="298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Королева Н.Н.</w:t>
            </w:r>
          </w:p>
        </w:tc>
        <w:tc>
          <w:tcPr>
            <w:tcW w:w="7048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Старший специалист ООЗиМТО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  <w:shd w:fill="auto" w:val="clear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Андронова С.А.</w:t>
            </w:r>
          </w:p>
        </w:tc>
        <w:tc>
          <w:tcPr>
            <w:tcW w:w="70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 w:val="false"/>
        <w:jc w:val="left"/>
        <w:rPr>
          <w:rFonts w:ascii="Tinos" w:hAnsi="Tinos" w:eastAsia="Calibri"/>
          <w:color w:val="000000"/>
          <w:sz w:val="24"/>
          <w:szCs w:val="24"/>
          <w:lang w:eastAsia="ar-SA"/>
        </w:rPr>
      </w:pPr>
      <w:r>
        <w:rPr>
          <w:rFonts w:eastAsia="Calibri" w:ascii="Tinos" w:hAnsi="Tinos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Заседание проводится в присутствии</w:t>
      </w:r>
      <w:r>
        <w:rPr>
          <w:rFonts w:ascii="Tinos" w:hAnsi="Tinos"/>
          <w:color w:val="000000"/>
          <w:sz w:val="24"/>
          <w:szCs w:val="24"/>
          <w:shd w:fill="auto" w:val="clear"/>
          <w:lang w:eastAsia="ar-SA"/>
        </w:rPr>
        <w:t xml:space="preserve"> 7 из 8 ч</w:t>
      </w:r>
      <w:r>
        <w:rPr>
          <w:rFonts w:ascii="Tinos" w:hAnsi="Tinos"/>
          <w:color w:val="000000"/>
          <w:sz w:val="24"/>
          <w:szCs w:val="24"/>
          <w:lang w:eastAsia="ar-SA"/>
        </w:rPr>
        <w:t>ленов закупочной комиссии.</w:t>
      </w:r>
    </w:p>
    <w:p>
      <w:pPr>
        <w:pStyle w:val="Normal"/>
        <w:widowControl w:val="false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Кворум имеется.</w:t>
      </w:r>
    </w:p>
    <w:p>
      <w:pPr>
        <w:pStyle w:val="Normal"/>
        <w:widowControl w:val="false"/>
        <w:rPr>
          <w:rFonts w:ascii="Tinos" w:hAnsi="Tinos"/>
          <w:sz w:val="24"/>
          <w:szCs w:val="24"/>
          <w:lang w:eastAsia="ar-SA"/>
        </w:rPr>
      </w:pPr>
      <w:r>
        <w:rPr>
          <w:rFonts w:ascii="Tinos" w:hAnsi="Tinos"/>
          <w:sz w:val="24"/>
          <w:szCs w:val="24"/>
          <w:lang w:eastAsia="ar-SA"/>
        </w:rPr>
      </w:r>
    </w:p>
    <w:p>
      <w:pPr>
        <w:pStyle w:val="Normal"/>
        <w:widowControl w:val="false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nos" w:hAnsi="Tinos"/>
          <w:color w:val="000000"/>
          <w:sz w:val="24"/>
          <w:szCs w:val="24"/>
          <w:lang w:eastAsia="ar-SA"/>
        </w:rPr>
        <w:t xml:space="preserve">08:00 (время московское)  «10» июня 2026 года.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nos" w:hAnsi="Tinos"/>
          <w:sz w:val="24"/>
          <w:szCs w:val="24"/>
          <w:lang w:eastAsia="ar-SA"/>
        </w:rPr>
      </w:pPr>
      <w:r>
        <w:rPr>
          <w:rFonts w:ascii="Tinos" w:hAnsi="Tinos"/>
          <w:sz w:val="24"/>
          <w:szCs w:val="24"/>
          <w:lang w:eastAsia="ar-SA"/>
        </w:rPr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/>
      </w:pPr>
      <w:r>
        <w:rPr>
          <w:rFonts w:ascii="Tinos" w:hAnsi="Tinos"/>
          <w:sz w:val="24"/>
          <w:szCs w:val="24"/>
          <w:lang w:eastAsia="ar-SA"/>
        </w:rPr>
        <w:t xml:space="preserve">Количество поданных на ЭТП </w:t>
      </w:r>
      <w:r>
        <w:rPr>
          <w:rFonts w:ascii="Tinos" w:hAnsi="Tinos"/>
          <w:sz w:val="24"/>
          <w:szCs w:val="24"/>
        </w:rPr>
        <w:t>АКЦИОНЕРНОЕ ОБЩЕСТВО «ЭЛЕКТРОННЫЕ ТОРГОВЫЕ СИСТЕМЫ»</w:t>
      </w:r>
      <w:hyperlink r:id="rId3">
        <w:r>
          <w:rPr>
            <w:rStyle w:val="Hyperlink"/>
            <w:rFonts w:ascii="Tinos" w:hAnsi="Tinos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nos" w:hAnsi="Tinos"/>
          <w:sz w:val="24"/>
          <w:szCs w:val="24"/>
          <w:lang w:eastAsia="ar-SA"/>
        </w:rPr>
        <w:t xml:space="preserve">: 1. </w:t>
      </w:r>
    </w:p>
    <w:p>
      <w:pPr>
        <w:pStyle w:val="ListParagraph"/>
        <w:widowControl w:val="false"/>
        <w:tabs>
          <w:tab w:val="clear" w:pos="708"/>
          <w:tab w:val="left" w:pos="252" w:leader="none"/>
        </w:tabs>
        <w:ind w:hanging="0" w:left="0"/>
        <w:rPr>
          <w:rFonts w:ascii="Tinos" w:hAnsi="Tinos"/>
          <w:sz w:val="24"/>
          <w:szCs w:val="24"/>
          <w:lang w:eastAsia="ar-SA"/>
        </w:rPr>
      </w:pPr>
      <w:r>
        <w:rPr>
          <w:rFonts w:ascii="Tinos" w:hAnsi="Tinos"/>
          <w:sz w:val="24"/>
          <w:szCs w:val="24"/>
          <w:lang w:eastAsia="ar-SA"/>
        </w:rPr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  <w:lang w:eastAsia="ar-SA"/>
        </w:rPr>
        <w:t>Согласно результатам открытия доступа к заявкам на участие в закупке:</w:t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tbl>
      <w:tblPr>
        <w:tblW w:w="1003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1979"/>
        <w:gridCol w:w="3740"/>
        <w:gridCol w:w="2017"/>
        <w:gridCol w:w="2303"/>
      </w:tblGrid>
      <w:tr>
        <w:trPr/>
        <w:tc>
          <w:tcPr>
            <w:tcW w:w="1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3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20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  <w:tc>
          <w:tcPr>
            <w:tcW w:w="23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>Ценовое предложение за единицу, сделанное участником закупки</w:t>
            </w:r>
          </w:p>
        </w:tc>
      </w:tr>
      <w:tr>
        <w:trPr/>
        <w:tc>
          <w:tcPr>
            <w:tcW w:w="19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 w:eastAsia="Calibri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14:textFill>
                  <w14:solidFill>
                    <w14:srgbClr w14:val="000000">
                      <w14:alpha w14:val="15000"/>
                    </w14:srgbClr>
                  </w14:solidFill>
                </w14:textFill>
              </w:rPr>
            </w:pPr>
            <w:r>
              <w:rPr>
                <w:rFonts w:eastAsia="Calibri" w:ascii="Tinos" w:hAnsi="Tinos" w:eastAsiaTheme="minorHAns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14:textFill>
                  <w14:solidFill>
                    <w14:srgbClr w14:val="000000">
                      <w14:alpha w14:val="15000"/>
                    </w14:srgbClr>
                  </w14:solidFill>
                </w14:textFill>
              </w:rPr>
              <w:t>32616071688-1-2</w:t>
            </w:r>
          </w:p>
        </w:tc>
        <w:tc>
          <w:tcPr>
            <w:tcW w:w="37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 xml:space="preserve">«Норд-Атлантика» </w:t>
              <w:br/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ИНН: 5190012988</w:t>
              <w:br/>
              <w:t>Адрес: 183034, г. Мурманск,</w:t>
            </w:r>
          </w:p>
          <w:p>
            <w:pPr>
              <w:pStyle w:val="Normal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ул. Свердлова, д. 19, этаж 3</w:t>
            </w:r>
          </w:p>
        </w:tc>
        <w:tc>
          <w:tcPr>
            <w:tcW w:w="20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«08» июня 2026 года 18:58 (время московское)</w:t>
            </w:r>
          </w:p>
        </w:tc>
        <w:tc>
          <w:tcPr>
            <w:tcW w:w="23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>
      <w:pPr>
        <w:pStyle w:val="Normal"/>
        <w:keepLines w:val="false"/>
        <w:jc w:val="left"/>
        <w:rPr>
          <w:rFonts w:ascii="Tinos" w:hAnsi="Tinos" w:eastAsia="Calibri"/>
          <w:color w:val="000000"/>
          <w:sz w:val="24"/>
          <w:szCs w:val="24"/>
          <w:lang w:eastAsia="ar-SA"/>
        </w:rPr>
      </w:pPr>
      <w:r>
        <w:rPr>
          <w:rFonts w:eastAsia="Calibri" w:ascii="Tinos" w:hAnsi="Tinos"/>
          <w:color w:val="000000"/>
          <w:sz w:val="24"/>
          <w:szCs w:val="24"/>
          <w:lang w:eastAsia="ar-SA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1. </w:t>
      </w:r>
      <w:r>
        <w:rPr>
          <w:rFonts w:ascii="Tinos" w:hAnsi="Tinos"/>
          <w:color w:val="000000"/>
          <w:sz w:val="24"/>
          <w:szCs w:val="24"/>
          <w:lang w:eastAsia="ar-SA"/>
        </w:rPr>
        <w:t xml:space="preserve">В соответствии с п. 7.8 Закупочной документации допустить к дальнейшему участию в запросе котировок участника Общество с ограниченной ответственностью </w:t>
      </w:r>
      <w:r>
        <w:rPr>
          <w:rFonts w:eastAsia="Calibri" w:ascii="Tinos" w:hAnsi="Tinos" w:eastAsiaTheme="minorHAnsi"/>
          <w:color w:val="000000"/>
          <w:sz w:val="24"/>
          <w:szCs w:val="24"/>
          <w:lang w:eastAsia="ar-SA"/>
        </w:rPr>
        <w:t>«Норд-Атлантика»</w:t>
      </w:r>
      <w:r>
        <w:rPr>
          <w:rFonts w:ascii="Tinos" w:hAnsi="Tinos"/>
          <w:color w:val="000000"/>
          <w:sz w:val="24"/>
          <w:szCs w:val="24"/>
          <w:lang w:eastAsia="ar-SA"/>
        </w:rPr>
        <w:t>, отвечающего требованиям документации по запросу котировок.</w:t>
      </w:r>
    </w:p>
    <w:p>
      <w:pPr>
        <w:pStyle w:val="Normal"/>
        <w:keepLines w:val="false"/>
        <w:spacing w:beforeAutospacing="1" w:afterAutospacing="1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2. 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b/>
          <w:color w:val="000000"/>
          <w:sz w:val="24"/>
          <w:szCs w:val="24"/>
          <w:lang w:eastAsia="ar-SA"/>
        </w:rPr>
        <w:t>Закупочная комиссия:</w:t>
      </w:r>
    </w:p>
    <w:p>
      <w:pPr>
        <w:pStyle w:val="Normal"/>
        <w:rPr>
          <w:rFonts w:ascii="Tinos" w:hAnsi="Tinos"/>
          <w:color w:val="000000"/>
          <w:sz w:val="24"/>
          <w:szCs w:val="24"/>
          <w:lang w:eastAsia="ar-SA"/>
        </w:rPr>
      </w:pPr>
      <w:r>
        <w:rPr>
          <w:rFonts w:ascii="Tinos" w:hAnsi="Tinos"/>
          <w:color w:val="000000"/>
          <w:sz w:val="24"/>
          <w:szCs w:val="24"/>
          <w:lang w:eastAsia="ar-SA"/>
        </w:rPr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1"/>
        </w:numPr>
        <w:tabs>
          <w:tab w:val="clear" w:pos="708"/>
          <w:tab w:val="left" w:pos="993" w:leader="none"/>
        </w:tabs>
        <w:ind w:firstLine="567" w:left="0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nos" w:hAnsi="Tinos"/>
          <w:color w:val="000000"/>
          <w:sz w:val="24"/>
          <w:szCs w:val="24"/>
          <w:lang w:eastAsia="ar-SA"/>
        </w:rPr>
        <w:t>предоставления сведений о предложениях участников закупки, содержании экспертных заключений проведения закупки и принимаемых решениях, за исключением  сведений находящихся,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nos" w:hAnsi="Tinos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keepLines w:val="false"/>
        <w:numPr>
          <w:ilvl w:val="0"/>
          <w:numId w:val="2"/>
        </w:numPr>
        <w:ind w:hanging="425" w:left="1418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 xml:space="preserve">закупки, </w:t>
      </w:r>
      <w:r>
        <w:rPr>
          <w:rFonts w:ascii="Tinos" w:hAnsi="Tinos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nos" w:hAnsi="Tinos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keepLines w:val="false"/>
        <w:ind w:hanging="0" w:left="1418"/>
        <w:rPr>
          <w:rFonts w:ascii="Tinos" w:hAnsi="Tinos"/>
          <w:color w:val="000000"/>
          <w:sz w:val="24"/>
          <w:szCs w:val="24"/>
          <w:lang w:eastAsia="ar-SA"/>
        </w:rPr>
      </w:pPr>
      <w:r>
        <w:rPr>
          <w:rFonts w:ascii="Tinos" w:hAnsi="Tinos"/>
          <w:color w:val="000000"/>
          <w:sz w:val="24"/>
          <w:szCs w:val="24"/>
          <w:lang w:eastAsia="ar-SA"/>
        </w:rPr>
      </w:r>
    </w:p>
    <w:p>
      <w:pPr>
        <w:pStyle w:val="Normal"/>
        <w:keepLines w:val="false"/>
        <w:rPr>
          <w:rFonts w:ascii="Tinos" w:hAnsi="Tinos"/>
          <w:sz w:val="24"/>
          <w:szCs w:val="24"/>
        </w:rPr>
      </w:pPr>
      <w:r>
        <w:rPr>
          <w:rFonts w:ascii="Tinos" w:hAnsi="Tinos"/>
          <w:color w:val="000000"/>
          <w:sz w:val="24"/>
          <w:szCs w:val="24"/>
          <w:lang w:eastAsia="ar-SA"/>
        </w:rPr>
        <w:t>Согласовано</w:t>
      </w:r>
      <w:r>
        <w:rPr>
          <w:rFonts w:eastAsia="Calibri" w:ascii="Tinos" w:hAnsi="Tinos"/>
          <w:sz w:val="24"/>
          <w:szCs w:val="24"/>
        </w:rPr>
        <w:t xml:space="preserve">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nos" w:hAnsi="Tinos" w:eastAsia="Calibri"/>
          <w:sz w:val="24"/>
          <w:szCs w:val="24"/>
        </w:rPr>
      </w:pPr>
      <w:r>
        <w:rPr>
          <w:rFonts w:eastAsia="Calibri" w:ascii="Tinos" w:hAnsi="Tinos"/>
          <w:sz w:val="24"/>
          <w:szCs w:val="24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4a0" w:noHBand="0" w:noVBand="1" w:firstColumn="1" w:lastRow="0" w:lastColumn="0" w:firstRow="1"/>
      </w:tblPr>
      <w:tblGrid>
        <w:gridCol w:w="3071"/>
        <w:gridCol w:w="4567"/>
        <w:gridCol w:w="2397"/>
      </w:tblGrid>
      <w:tr>
        <w:trPr/>
        <w:tc>
          <w:tcPr>
            <w:tcW w:w="30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3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Андронова С. А.</w:t>
            </w:r>
          </w:p>
        </w:tc>
        <w:tc>
          <w:tcPr>
            <w:tcW w:w="4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  <w:tc>
          <w:tcPr>
            <w:tcW w:w="23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nos" w:hAnsi="Tinos" w:eastAsia="Calibri"/>
                <w:sz w:val="24"/>
                <w:szCs w:val="24"/>
              </w:rPr>
            </w:pPr>
            <w:r>
              <w:rPr>
                <w:rFonts w:eastAsia="Calibri" w:ascii="Tinos" w:hAnsi="Tinos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nos" w:hAnsi="Tinos" w:eastAsia="Calibri"/>
          <w:sz w:val="24"/>
          <w:szCs w:val="24"/>
          <w:lang w:eastAsia="ar-SA"/>
        </w:rPr>
      </w:pPr>
      <w:r>
        <w:rPr>
          <w:rFonts w:eastAsia="Calibri" w:ascii="Tinos" w:hAnsi="Tinos"/>
          <w:sz w:val="24"/>
          <w:szCs w:val="24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p>
      <w:pPr>
        <w:pStyle w:val="Normal"/>
        <w:spacing w:before="0"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spacing w:before="0"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spacing w:before="0" w:after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spacing w:before="0" w:after="0"/>
        <w:jc w:val="left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tbl>
      <w:tblPr>
        <w:tblW w:w="10071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0"/>
        <w:gridCol w:w="5365"/>
        <w:gridCol w:w="1739"/>
        <w:gridCol w:w="2457"/>
      </w:tblGrid>
      <w:tr>
        <w:trPr>
          <w:trHeight w:val="945" w:hRule="atLeast"/>
        </w:trPr>
        <w:tc>
          <w:tcPr>
            <w:tcW w:w="10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Приложение № 1 к Протоколу №32616071688/1 от 11.06.2026 г. заседания закупочной комиссии по подведению итогов закупки на право заключения договора на поставку орехов и сухофруктов</w:t>
            </w:r>
          </w:p>
        </w:tc>
      </w:tr>
      <w:tr>
        <w:trPr>
          <w:trHeight w:val="814" w:hRule="atLeast"/>
        </w:trPr>
        <w:tc>
          <w:tcPr>
            <w:tcW w:w="5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№ </w:t>
            </w:r>
            <w:r>
              <w:rPr>
                <w:rFonts w:ascii="Tinos" w:hAnsi="Tinos"/>
                <w:sz w:val="24"/>
                <w:szCs w:val="24"/>
              </w:rPr>
              <w:t>п/п</w:t>
            </w:r>
          </w:p>
        </w:tc>
        <w:tc>
          <w:tcPr>
            <w:tcW w:w="5365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i/>
                <w:sz w:val="24"/>
                <w:szCs w:val="24"/>
              </w:rPr>
              <w:t>Наименование МТРиО, работ, услуг</w:t>
            </w:r>
          </w:p>
        </w:tc>
        <w:tc>
          <w:tcPr>
            <w:tcW w:w="17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  <w:t>НМЦ за ед. без НДС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i/>
                <w:sz w:val="24"/>
                <w:szCs w:val="24"/>
              </w:rPr>
              <w:t>ООО "Норд-Атлантика"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b/>
                <w:i/>
                <w:sz w:val="22"/>
                <w:szCs w:val="22"/>
              </w:rPr>
            </w:pPr>
            <w:r>
              <w:rPr>
                <w:rFonts w:ascii="Tinos" w:hAnsi="Tinos"/>
                <w:b/>
                <w:i/>
                <w:sz w:val="22"/>
                <w:szCs w:val="22"/>
              </w:rPr>
            </w:r>
          </w:p>
        </w:tc>
      </w:tr>
      <w:tr>
        <w:trPr>
          <w:trHeight w:val="1140" w:hRule="atLeast"/>
        </w:trPr>
        <w:tc>
          <w:tcPr>
            <w:tcW w:w="51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</w:r>
          </w:p>
        </w:tc>
        <w:tc>
          <w:tcPr>
            <w:tcW w:w="5365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b/>
                <w:i/>
                <w:sz w:val="24"/>
                <w:szCs w:val="24"/>
              </w:rPr>
            </w:pPr>
            <w:r>
              <w:rPr>
                <w:rFonts w:ascii="Tinos" w:hAnsi="Tinos"/>
                <w:b/>
                <w:i/>
                <w:sz w:val="24"/>
                <w:szCs w:val="24"/>
              </w:rPr>
            </w:r>
          </w:p>
        </w:tc>
        <w:tc>
          <w:tcPr>
            <w:tcW w:w="173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b/>
                <w:sz w:val="24"/>
                <w:szCs w:val="24"/>
              </w:rPr>
            </w:pPr>
            <w:r>
              <w:rPr>
                <w:rFonts w:ascii="Tinos" w:hAnsi="Tinos"/>
                <w:b/>
                <w:sz w:val="24"/>
                <w:szCs w:val="24"/>
              </w:rPr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Цена позиции за ед. руб. без НДС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5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Арахис (ядро)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243,13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239,75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27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Арахис очищенный бланшированный, сырой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232,83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229,51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298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Вишня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735,95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711,48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3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Изюм бескостный желтый (золотой)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341,60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341,60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Инжир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843,89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791,80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6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Киви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548,36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516,39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7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Курага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270,75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270,49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8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Миндаль (ядро)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1 271,31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1262,30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9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Миндаль обжаренный резаный ЛЕПЕСТКИ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1 327,98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1319,67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10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Орех Грецкий очищенный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831,09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825,82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11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Орех Кедровый очищенный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2 799,26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2799,18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12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Орех Кешью очищенный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1 270,33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1240,16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13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Папайя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416,13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415,98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14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Плоды шиповника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263,19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252,46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15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Смесь спортивная Вита Энерджи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553,66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553,28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16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Смесь цукатов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344,99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332,79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17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ind w:hanging="0" w:left="0" w:right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Фундук (ядро)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1 343,95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ind w:hanging="0" w:left="0" w:right="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1307,38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  <w:tr>
        <w:trPr>
          <w:trHeight w:val="30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18</w:t>
            </w:r>
          </w:p>
        </w:tc>
        <w:tc>
          <w:tcPr>
            <w:tcW w:w="5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4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Чернослив</w:t>
            </w:r>
          </w:p>
        </w:tc>
        <w:tc>
          <w:tcPr>
            <w:tcW w:w="173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289,90</w:t>
            </w:r>
          </w:p>
        </w:tc>
        <w:tc>
          <w:tcPr>
            <w:tcW w:w="245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</w:rPr>
              <w:t>287,70</w:t>
            </w:r>
          </w:p>
        </w:tc>
        <w:tc>
          <w:tcPr>
            <w:tcW w:w="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jc w:val="left"/>
        <w:rPr>
          <w:rFonts w:ascii="Times New Roman" w:hAnsi="Times New Roman" w:eastAsia="Calibri"/>
          <w:lang w:eastAsia="ar-SA"/>
        </w:rPr>
      </w:pPr>
      <w:r>
        <w:rPr>
          <w:rFonts w:eastAsia="Calibri" w:ascii="Times New Roman" w:hAnsi="Times New Roman"/>
          <w:lang w:eastAsia="ar-SA"/>
        </w:rPr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swiss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32616071688/1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орехов и сухофруктов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ПРОТОКОЛ № 32616071688/1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lef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nos" w:hAnsi="Tinos"/>
        <w:b w:val="false"/>
        <w:bCs w:val="false"/>
        <w:sz w:val="16"/>
        <w:szCs w:val="16"/>
      </w:rPr>
      <w:t>заседания закупочной комиссии по подведению итогов закупки на право заключения договора на поставку орехов и сухофруктов</w:t>
    </w:r>
  </w:p>
  <w:p>
    <w:pPr>
      <w:pStyle w:val="BodyText"/>
      <w:numPr>
        <w:ilvl w:val="0"/>
        <w:numId w:val="0"/>
      </w:numPr>
      <w:spacing w:before="0" w:after="160"/>
      <w:ind w:hanging="0"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3">
    <w:name w:val="heading 3"/>
    <w:basedOn w:val="Normal"/>
    <w:next w:val="Normal"/>
    <w:link w:val="3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3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3" w:customStyle="1">
    <w:name w:val="Текст примечания Знак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18" w:customStyle="1">
    <w:name w:val="Абзац списка Знак"/>
    <w:link w:val="ListParagraph"/>
    <w:uiPriority w:val="34"/>
    <w:qFormat/>
    <w:locked/>
    <w:rsid w:val="006501c1"/>
    <w:rPr>
      <w:rFonts w:ascii="Arial" w:hAnsi="Arial" w:eastAsia="Times New Roman" w:cs="Times New Roman"/>
      <w:sz w:val="24"/>
      <w:szCs w:val="24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8"/>
    <w:uiPriority w:val="34"/>
    <w:qFormat/>
    <w:pPr>
      <w:spacing w:before="0" w:after="0"/>
      <w:ind w:hanging="0" w:left="720"/>
      <w:contextualSpacing/>
    </w:pPr>
    <w:rPr/>
  </w:style>
  <w:style w:type="paragraph" w:styleId="3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3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ы (user)"/>
    <w:basedOn w:val="user3"/>
    <w:qFormat/>
    <w:pPr>
      <w:suppressLineNumbers/>
      <w:jc w:val="center"/>
    </w:pPr>
    <w:rPr>
      <w:b/>
      <w:bCs/>
    </w:rPr>
  </w:style>
  <w:style w:type="paragraph" w:styleId="Style24">
    <w:name w:val="Содержимое таблицы"/>
    <w:basedOn w:val="Normal"/>
    <w:qFormat/>
    <w:pPr/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Style2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E97F-9C97-40D5-88F4-7C1E16F5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Application>LibreOffice/25.8.4.2$Linux_X86_64 LibreOffice_project/580$Build-2</Application>
  <AppVersion>15.0000</AppVersion>
  <Pages>4</Pages>
  <Words>815</Words>
  <Characters>5411</Characters>
  <CharactersWithSpaces>6072</CharactersWithSpaces>
  <Paragraphs>157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2023-03-24T11:55:00Z</dcterms:created>
  <dc:creator>ss</dc:creator>
  <dc:description/>
  <dc:language>ru-RU</dc:language>
  <cp:lastModifiedBy/>
  <cp:lastPrinted>2026-06-15T11:50:44Z</cp:lastPrinted>
  <dcterms:modified xsi:type="dcterms:W3CDTF">2026-06-15T11:56:48Z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