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Lines w:val="false"/>
        <w:widowControl w:val="false"/>
        <w:numPr>
          <w:ilvl w:val="0"/>
          <w:numId w:val="0"/>
        </w:numPr>
        <w:ind w:hanging="0" w:start="0"/>
        <w:jc w:val="center"/>
        <w:outlineLvl w:val="0"/>
        <w:rPr>
          <w:rFonts w:ascii="Times New Roman" w:hAnsi="Times New Roman"/>
          <w:b/>
          <w:bCs/>
        </w:rPr>
      </w:pPr>
      <w:bookmarkStart w:id="0" w:name="_GoBack"/>
      <w:bookmarkEnd w:id="0"/>
      <w:r>
        <w:rPr>
          <w:rFonts w:ascii="Times New Roman" w:hAnsi="Times New Roman"/>
          <w:b/>
          <w:bCs/>
        </w:rPr>
        <w:t>ПРОТОКОЛ №32616166759/1</w:t>
      </w:r>
    </w:p>
    <w:p>
      <w:pPr>
        <w:pStyle w:val="Normal"/>
        <w:keepLines w:val="false"/>
        <w:widowControl w:val="false"/>
        <w:numPr>
          <w:ilvl w:val="0"/>
          <w:numId w:val="0"/>
        </w:numPr>
        <w:ind w:hanging="0" w:start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заседания закупочной комиссии по подведению итогов закупки</w:t>
      </w:r>
    </w:p>
    <w:p>
      <w:pPr>
        <w:pStyle w:val="Normal"/>
        <w:keepLines w:val="false"/>
        <w:widowControl w:val="false"/>
        <w:numPr>
          <w:ilvl w:val="0"/>
          <w:numId w:val="0"/>
        </w:numPr>
        <w:ind w:hanging="0" w:start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на право заключения договора на оказание услуг по текущему ремонту электрооборудования для нужд службы общественного питания ООО «Кольская АЭС-Авто»</w:t>
      </w:r>
    </w:p>
    <w:p>
      <w:pPr>
        <w:pStyle w:val="Normal"/>
        <w:keepLines w:val="false"/>
        <w:widowControl w:val="false"/>
        <w:numPr>
          <w:ilvl w:val="0"/>
          <w:numId w:val="0"/>
        </w:numPr>
        <w:ind w:hanging="0" w:start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tbl>
      <w:tblPr>
        <w:tblW w:w="1003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2773"/>
        <w:gridCol w:w="7262"/>
      </w:tblGrid>
      <w:tr>
        <w:trPr/>
        <w:tc>
          <w:tcPr>
            <w:tcW w:w="2773" w:type="dxa"/>
            <w:tcBorders/>
          </w:tcPr>
          <w:p>
            <w:pPr>
              <w:pStyle w:val="Normal"/>
              <w:keepLines w:val="false"/>
              <w:widowControl w:val="false"/>
              <w:spacing w:lineRule="auto" w:line="276"/>
              <w:jc w:val="star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Полярные Зори</w:t>
            </w:r>
          </w:p>
        </w:tc>
        <w:tc>
          <w:tcPr>
            <w:tcW w:w="7262" w:type="dxa"/>
            <w:tcBorders/>
          </w:tcPr>
          <w:p>
            <w:pPr>
              <w:pStyle w:val="Normal"/>
              <w:keepLines w:val="false"/>
              <w:widowControl w:val="false"/>
              <w:spacing w:lineRule="auto" w:line="276"/>
              <w:jc w:val="end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lang w:eastAsia="en-US"/>
              </w:rPr>
              <w:t>«09» июля 2026 г.</w:t>
            </w:r>
          </w:p>
        </w:tc>
      </w:tr>
    </w:tbl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>Закупка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31.10.2025 №</w:t>
      </w:r>
      <w:r>
        <w:rPr>
          <w:rFonts w:ascii="Times New Roman" w:hAnsi="Times New Roman"/>
          <w:shd w:fill="auto" w:val="clear"/>
        </w:rPr>
        <w:t xml:space="preserve"> 217) (</w:t>
      </w:r>
      <w:r>
        <w:rPr>
          <w:rFonts w:ascii="Times New Roman" w:hAnsi="Times New Roman"/>
        </w:rPr>
        <w:t xml:space="preserve">далее – ЕОСЗ), в редакции, указанной в </w:t>
      </w:r>
      <w:r>
        <w:rPr>
          <w:rFonts w:ascii="Times New Roman" w:hAnsi="Times New Roman"/>
          <w:color w:val="000000"/>
          <w:lang w:eastAsia="ar-SA"/>
        </w:rPr>
        <w:t>документации</w:t>
      </w:r>
      <w:r>
        <w:rPr>
          <w:rFonts w:ascii="Times New Roman" w:hAnsi="Times New Roman"/>
        </w:rPr>
        <w:t>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 xml:space="preserve">с использованием функционала </w:t>
      </w:r>
      <w:r>
        <w:rPr>
          <w:rFonts w:ascii="Times New Roman" w:hAnsi="Times New Roman"/>
          <w:b w:val="false"/>
          <w:bCs w:val="false"/>
          <w:i w:val="false"/>
          <w:iCs w:val="false"/>
        </w:rPr>
        <w:t xml:space="preserve">ЭТП </w:t>
      </w:r>
      <w:r>
        <w:rPr>
          <w:rStyle w:val="Hyperlink"/>
          <w:rFonts w:eastAsia="Times New Roman" w:ascii="Tinos" w:hAnsi="Tinos"/>
          <w:b w:val="false"/>
          <w:bCs w:val="false"/>
          <w:i w:val="false"/>
          <w:iCs w:val="false"/>
          <w:color w:themeColor="text1" w:val="000000"/>
          <w:spacing w:val="1"/>
          <w:sz w:val="24"/>
          <w:szCs w:val="24"/>
          <w:u w:val="none"/>
          <w:lang w:eastAsia="ru-RU"/>
        </w:rPr>
        <w:t>АКЦИОНЕРНОЕ ОБЩЕСТВО «ЭЛЕКТРОННЫЕ ТОРГОВЫЕ СИСТЕМЫ»</w:t>
      </w:r>
      <w:r>
        <w:rPr>
          <w:rFonts w:ascii="Times New Roman" w:hAnsi="Times New Roman"/>
          <w:b w:val="false"/>
          <w:bCs w:val="false"/>
          <w:i w:val="false"/>
          <w:iCs w:val="false"/>
        </w:rPr>
        <w:t>,</w:t>
      </w:r>
      <w:r>
        <w:rPr>
          <w:rFonts w:ascii="Times New Roman" w:hAnsi="Times New Roman"/>
        </w:rPr>
        <w:t xml:space="preserve"> согласно регламенту ее работы.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ind w:hanging="0" w:start="0"/>
        <w:outlineLvl w:val="0"/>
        <w:rPr>
          <w:rFonts w:ascii="Times New Roman" w:hAnsi="Times New Roman"/>
          <w:b/>
          <w:bCs/>
          <w:sz w:val="18"/>
          <w:szCs w:val="18"/>
        </w:rPr>
      </w:pPr>
      <w:r>
        <w:rPr>
          <w:rFonts w:ascii="Times New Roman" w:hAnsi="Times New Roman"/>
          <w:b/>
          <w:bCs/>
          <w:sz w:val="18"/>
          <w:szCs w:val="18"/>
        </w:rPr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ind w:hanging="0" w:start="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>
      <w:pPr>
        <w:pStyle w:val="Normal"/>
        <w:widowControl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Номер годовой программы закупок: 25429/131</w:t>
      </w:r>
    </w:p>
    <w:p>
      <w:pPr>
        <w:pStyle w:val="Normal"/>
        <w:widowControl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Заказчик: Общество с ограниченной ответственностью "Кольская АЭС-Авто".</w:t>
      </w:r>
    </w:p>
    <w:p>
      <w:pPr>
        <w:pStyle w:val="Normal"/>
        <w:widowControl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Организатор закупки: ООО "Кольская АЭС-Авто".</w:t>
      </w:r>
    </w:p>
    <w:p>
      <w:pPr>
        <w:pStyle w:val="Normal"/>
        <w:widowControl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>
      <w:pPr>
        <w:pStyle w:val="Normal"/>
        <w:keepLines w:val="false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Предмет закупки: </w:t>
      </w:r>
      <w:r>
        <w:rPr>
          <w:rFonts w:ascii="Times New Roman" w:hAnsi="Times New Roman"/>
        </w:rPr>
        <w:t>прав</w:t>
      </w:r>
      <w:r>
        <w:rPr>
          <w:rFonts w:ascii="Times New Roman" w:hAnsi="Times New Roman"/>
          <w:b w:val="false"/>
          <w:bCs w:val="false"/>
        </w:rPr>
        <w:t>о заключения договора на оказание услуг по текущему ремонту электрооборудования для нужд службы общественного питания ООО «Кольская АЭС-Авто».</w:t>
      </w:r>
    </w:p>
    <w:p>
      <w:pPr>
        <w:pStyle w:val="Normal"/>
        <w:keepLines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Состав и объем услуг: все необходимые сведения приведены в Томе 2 извещения о проведении запроса котировок (закупочной документации).</w:t>
      </w:r>
    </w:p>
    <w:p>
      <w:pPr>
        <w:pStyle w:val="Normal"/>
        <w:widowControl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Срок оказания услуг: с момента заключения договора (не ранее 01.08.2026г.) по 31.01.2027г.</w:t>
      </w:r>
    </w:p>
    <w:p>
      <w:pPr>
        <w:pStyle w:val="Normal"/>
        <w:widowControl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p>
      <w:pPr>
        <w:pStyle w:val="Normal"/>
        <w:keepLines w:val="false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Начальная (максимальная) цена договора: </w:t>
      </w:r>
    </w:p>
    <w:p>
      <w:pPr>
        <w:pStyle w:val="Normal"/>
        <w:widowControl w:val="false"/>
        <w:spacing w:before="0" w:after="0"/>
        <w:jc w:val="both"/>
        <w:rPr>
          <w:rFonts w:ascii="Tinos" w:hAnsi="Tinos"/>
        </w:rPr>
      </w:pPr>
      <w:r>
        <w:rPr>
          <w:rFonts w:ascii="Tinos" w:hAnsi="Tinos"/>
          <w:bCs/>
          <w:color w:val="000000"/>
          <w:shd w:fill="auto" w:val="clear"/>
        </w:rPr>
        <w:t>600 000 (Шестьсот тысяч) рублей 00 копеек</w:t>
      </w:r>
      <w:r>
        <w:rPr>
          <w:rFonts w:ascii="Tinos" w:hAnsi="Tinos"/>
          <w:bCs/>
          <w:color w:val="000000"/>
          <w:sz w:val="24"/>
          <w:szCs w:val="24"/>
          <w:shd w:fill="auto" w:val="clear"/>
        </w:rPr>
        <w:t>, включая НДС (НДС 22%);</w:t>
      </w:r>
    </w:p>
    <w:p>
      <w:pPr>
        <w:pStyle w:val="Normal"/>
        <w:widowControl w:val="false"/>
        <w:spacing w:before="0" w:after="0"/>
        <w:jc w:val="both"/>
        <w:rPr>
          <w:rFonts w:ascii="Tinos" w:hAnsi="Tinos"/>
        </w:rPr>
      </w:pPr>
      <w:r>
        <w:rPr>
          <w:rFonts w:ascii="Tinos" w:hAnsi="Tinos"/>
          <w:b w:val="false"/>
          <w:bCs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 xml:space="preserve">491 803 </w:t>
      </w:r>
      <w:r>
        <w:rPr>
          <w:rFonts w:ascii="Tinos" w:hAnsi="Tinos"/>
          <w:bCs/>
          <w:color w:val="000000"/>
          <w:sz w:val="24"/>
          <w:szCs w:val="24"/>
          <w:shd w:fill="auto" w:val="clear"/>
        </w:rPr>
        <w:t xml:space="preserve"> (</w:t>
      </w:r>
      <w:r>
        <w:rPr>
          <w:rFonts w:ascii="Tinos" w:hAnsi="Tinos"/>
          <w:bCs/>
          <w:color w:val="000000"/>
          <w:sz w:val="24"/>
          <w:szCs w:val="24"/>
          <w:shd w:fill="auto" w:val="clear"/>
        </w:rPr>
        <w:t>Четыреста девяносто одна тысяча восемьсот три</w:t>
      </w:r>
      <w:r>
        <w:rPr>
          <w:rFonts w:ascii="Tinos" w:hAnsi="Tinos"/>
          <w:bCs/>
          <w:color w:val="000000"/>
          <w:sz w:val="24"/>
          <w:szCs w:val="24"/>
          <w:shd w:fill="auto" w:val="clear"/>
        </w:rPr>
        <w:t>) рубля 28 копеек, без учета НДС.</w:t>
      </w:r>
    </w:p>
    <w:p>
      <w:pPr>
        <w:pStyle w:val="Normal"/>
        <w:widowControl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Извещение о проведении закупки (закупочная документация) опубликовано «01» июля 2026 года на официальном государственном сайте http://www.zakupki.gov.ru/, закупка № 32616166759, на официальном сайте по закупкам атомной отрасли http://zakupki.rosatom.ru/, закупка № 218747, на </w:t>
      </w:r>
      <w:r>
        <w:rPr>
          <w:rStyle w:val="Hyperlink"/>
          <w:rFonts w:eastAsia="Times New Roman" w:ascii="Times New Roman" w:hAnsi="Times New Roman"/>
          <w:b w:val="false"/>
          <w:bCs w:val="false"/>
          <w:i w:val="false"/>
          <w:iCs w:val="false"/>
          <w:color w:themeColor="text1" w:val="000000"/>
          <w:spacing w:val="1"/>
          <w:sz w:val="24"/>
          <w:szCs w:val="24"/>
          <w:u w:val="none"/>
          <w:lang w:eastAsia="ru-RU"/>
        </w:rPr>
        <w:t xml:space="preserve">ЭТП </w:t>
      </w:r>
      <w:r>
        <w:rPr>
          <w:rStyle w:val="Hyperlink"/>
          <w:rFonts w:eastAsia="Times New Roman" w:ascii="Tinos" w:hAnsi="Tinos"/>
          <w:b w:val="false"/>
          <w:bCs w:val="false"/>
          <w:i w:val="false"/>
          <w:iCs w:val="false"/>
          <w:color w:themeColor="text1" w:val="000000"/>
          <w:spacing w:val="1"/>
          <w:sz w:val="24"/>
          <w:szCs w:val="24"/>
          <w:u w:val="none"/>
          <w:lang w:eastAsia="ru-RU"/>
        </w:rPr>
        <w:t>АКЦИОНЕРНОЕ ОБЩЕСТВО «ЭЛЕКТРОННЫЕ ТОРГОВЫЕ СИСТЕМЫ»</w:t>
      </w:r>
      <w:r>
        <w:rPr>
          <w:rFonts w:ascii="Times New Roman" w:hAnsi="Times New Roman"/>
        </w:rPr>
        <w:t>, закупка № 32616166759.</w:t>
      </w:r>
    </w:p>
    <w:p>
      <w:pPr>
        <w:pStyle w:val="Normal"/>
        <w:widowControl w:val="false"/>
        <w:rPr>
          <w:rFonts w:ascii="Times New Roman" w:hAnsi="Times New Roman"/>
          <w:bCs/>
          <w:sz w:val="14"/>
          <w:szCs w:val="14"/>
        </w:rPr>
      </w:pPr>
      <w:r>
        <w:rPr>
          <w:rFonts w:ascii="Times New Roman" w:hAnsi="Times New Roman"/>
          <w:bCs/>
          <w:sz w:val="14"/>
          <w:szCs w:val="14"/>
        </w:rPr>
      </w:r>
    </w:p>
    <w:p>
      <w:pPr>
        <w:pStyle w:val="Normal"/>
        <w:widowControl w:val="false"/>
        <w:tabs>
          <w:tab w:val="clear" w:pos="708"/>
          <w:tab w:val="left" w:pos="567" w:leader="none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Срок окончания подачи заявок на участие в закупке 08:00 (время московское) «09» июля 2026 года. </w:t>
      </w:r>
    </w:p>
    <w:p>
      <w:pPr>
        <w:pStyle w:val="Normal"/>
        <w:widowControl w:val="false"/>
        <w:tabs>
          <w:tab w:val="clear" w:pos="708"/>
          <w:tab w:val="left" w:pos="567" w:leader="none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p>
      <w:pPr>
        <w:pStyle w:val="Normal"/>
        <w:widowControl w:val="false"/>
        <w:tabs>
          <w:tab w:val="clear" w:pos="708"/>
          <w:tab w:val="left" w:pos="567" w:leader="none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Количество поданных на </w:t>
      </w:r>
      <w:r>
        <w:rPr>
          <w:rStyle w:val="Hyperlink"/>
          <w:rFonts w:eastAsia="Times New Roman" w:ascii="Times New Roman" w:hAnsi="Times New Roman"/>
          <w:b w:val="false"/>
          <w:bCs w:val="false"/>
          <w:i w:val="false"/>
          <w:iCs w:val="false"/>
          <w:color w:themeColor="text1" w:val="000000"/>
          <w:spacing w:val="1"/>
          <w:sz w:val="24"/>
          <w:szCs w:val="24"/>
          <w:u w:val="none"/>
          <w:lang w:eastAsia="ru-RU"/>
        </w:rPr>
        <w:t xml:space="preserve">ЭТП </w:t>
      </w:r>
      <w:r>
        <w:rPr>
          <w:rStyle w:val="Hyperlink"/>
          <w:rFonts w:eastAsia="Times New Roman" w:ascii="Tinos" w:hAnsi="Tinos"/>
          <w:b w:val="false"/>
          <w:bCs w:val="false"/>
          <w:i w:val="false"/>
          <w:iCs w:val="false"/>
          <w:color w:themeColor="text1" w:val="000000"/>
          <w:spacing w:val="1"/>
          <w:sz w:val="24"/>
          <w:szCs w:val="24"/>
          <w:u w:val="none"/>
          <w:lang w:eastAsia="ru-RU"/>
        </w:rPr>
        <w:t>АКЦИОНЕРНОЕ ОБЩЕСТВО «ЭЛЕКТРОННЫЕ ТОРГОВЫЕ СИСТЕМЫ»</w:t>
      </w:r>
      <w:r>
        <w:rPr>
          <w:rFonts w:ascii="Times New Roman" w:hAnsi="Times New Roman"/>
          <w:bCs/>
        </w:rPr>
        <w:t xml:space="preserve"> заявок на участие в закупке: 0.</w:t>
      </w:r>
    </w:p>
    <w:p>
      <w:pPr>
        <w:pStyle w:val="Normal"/>
        <w:widowControl w:val="false"/>
        <w:tabs>
          <w:tab w:val="clear" w:pos="708"/>
          <w:tab w:val="left" w:pos="567" w:leader="none"/>
        </w:tabs>
        <w:rPr>
          <w:rFonts w:ascii="Times New Roman" w:hAnsi="Times New Roman"/>
          <w:bCs/>
          <w:sz w:val="14"/>
          <w:szCs w:val="14"/>
        </w:rPr>
      </w:pPr>
      <w:r>
        <w:rPr>
          <w:rFonts w:ascii="Times New Roman" w:hAnsi="Times New Roman"/>
          <w:bCs/>
          <w:sz w:val="14"/>
          <w:szCs w:val="14"/>
        </w:rPr>
      </w:r>
    </w:p>
    <w:p>
      <w:pPr>
        <w:pStyle w:val="Normal"/>
        <w:widowControl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В связи с тем, что после окончания срока подачи заявок на участие в процедуре закупки не подано ни одной заявки, в соответствии с подпунктом б) пункта 1.1 части 1 статьи 6.4 ЕОСЗ, Запрос котировок в электронной форме (МСП) на право заключения договора </w:t>
      </w:r>
      <w:r>
        <w:rPr>
          <w:rFonts w:ascii="Times New Roman" w:hAnsi="Times New Roman"/>
          <w:b w:val="false"/>
          <w:bCs w:val="false"/>
        </w:rPr>
        <w:t xml:space="preserve">на оказание услуг по текущему ремонту электрооборудования для нужд службы общественного питания ООО «Кольская АЭС-Авто» </w:t>
      </w:r>
      <w:r>
        <w:rPr>
          <w:rFonts w:ascii="Times New Roman" w:hAnsi="Times New Roman"/>
          <w:bCs/>
        </w:rPr>
        <w:t>признан несостоявшимся.</w:t>
      </w:r>
    </w:p>
    <w:p>
      <w:pPr>
        <w:pStyle w:val="Normal"/>
        <w:widowControl w:val="false"/>
        <w:ind w:hanging="0" w:start="284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start w:w="22" w:type="dxa"/>
          <w:bottom w:w="0" w:type="dxa"/>
          <w:end w:w="22" w:type="dxa"/>
        </w:tblCellMar>
        <w:tblLook w:val="04a0" w:noHBand="0" w:noVBand="1" w:firstColumn="1" w:lastRow="0" w:lastColumn="0" w:firstRow="1"/>
      </w:tblPr>
      <w:tblGrid>
        <w:gridCol w:w="3103"/>
        <w:gridCol w:w="4871"/>
        <w:gridCol w:w="2061"/>
      </w:tblGrid>
      <w:tr>
        <w:trPr/>
        <w:tc>
          <w:tcPr>
            <w:tcW w:w="10035" w:type="dxa"/>
            <w:gridSpan w:val="3"/>
            <w:tcBorders>
              <w:top w:val="outset" w:sz="6" w:space="0" w:color="000000"/>
              <w:start w:val="outset" w:sz="6" w:space="0" w:color="000000"/>
              <w:bottom w:val="outset" w:sz="6" w:space="0" w:color="000000"/>
              <w:end w:val="outset" w:sz="6" w:space="0" w:color="000000"/>
            </w:tcBorders>
          </w:tcPr>
          <w:p>
            <w:pPr>
              <w:pStyle w:val="Normal"/>
              <w:keepLines w:val="false"/>
              <w:widowControl w:val="false"/>
              <w:jc w:val="start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>
        <w:trPr/>
        <w:tc>
          <w:tcPr>
            <w:tcW w:w="3103" w:type="dxa"/>
            <w:tcBorders>
              <w:top w:val="outset" w:sz="6" w:space="0" w:color="000000"/>
              <w:start w:val="outset" w:sz="6" w:space="0" w:color="000000"/>
              <w:bottom w:val="outset" w:sz="6" w:space="0" w:color="000000"/>
              <w:end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Андронова С.А.</w:t>
            </w:r>
          </w:p>
        </w:tc>
        <w:tc>
          <w:tcPr>
            <w:tcW w:w="4871" w:type="dxa"/>
            <w:tcBorders>
              <w:top w:val="outset" w:sz="6" w:space="0" w:color="000000"/>
              <w:start w:val="outset" w:sz="6" w:space="0" w:color="000000"/>
              <w:bottom w:val="outset" w:sz="6" w:space="0" w:color="000000"/>
              <w:end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 xml:space="preserve"> </w:t>
            </w:r>
            <w:r>
              <w:rPr>
                <w:rFonts w:eastAsia="Calibri" w:ascii="Times New Roman" w:hAnsi="Times New Roman"/>
              </w:rPr>
              <w:t>Специалист ООЗиМТО</w:t>
            </w:r>
          </w:p>
        </w:tc>
        <w:tc>
          <w:tcPr>
            <w:tcW w:w="2061" w:type="dxa"/>
            <w:tcBorders>
              <w:top w:val="outset" w:sz="6" w:space="0" w:color="000000"/>
              <w:start w:val="outset" w:sz="6" w:space="0" w:color="000000"/>
              <w:bottom w:val="outset" w:sz="6" w:space="0" w:color="000000"/>
              <w:end w:val="outset" w:sz="6" w:space="0" w:color="000000"/>
            </w:tcBorders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eastAsiaTheme="minorHAnsi" w:ascii="Times New Roman" w:hAnsi="Times New Roman"/>
              </w:rPr>
            </w:r>
          </w:p>
        </w:tc>
      </w:tr>
    </w:tbl>
    <w:p>
      <w:pPr>
        <w:pStyle w:val="Normal"/>
        <w:keepLines w:val="false"/>
        <w:jc w:val="start"/>
        <w:rPr>
          <w:rFonts w:ascii="Times New Roman" w:hAnsi="Times New Roman" w:eastAsia="Calibri"/>
          <w:color w:val="000000"/>
          <w:lang w:eastAsia="ar-SA"/>
        </w:rPr>
      </w:pPr>
      <w:r>
        <w:rPr>
          <w:rFonts w:eastAsia="Calibri" w:ascii="Times New Roman" w:hAnsi="Times New Roman"/>
          <w:color w:val="000000"/>
          <w:lang w:eastAsia="ar-SA"/>
        </w:rPr>
      </w:r>
    </w:p>
    <w:sectPr>
      <w:footerReference w:type="even" r:id="rId2"/>
      <w:footerReference w:type="default" r:id="rId3"/>
      <w:footerReference w:type="first" r:id="rId4"/>
      <w:type w:val="nextPage"/>
      <w:pgSz w:w="11906" w:h="16838"/>
      <w:pgMar w:left="1134" w:right="737" w:gutter="0" w:header="0" w:top="567" w:footer="708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Calibri">
    <w:charset w:val="01"/>
    <w:family w:val="roman"/>
    <w:pitch w:val="default"/>
  </w:font>
  <w:font w:name="Arial">
    <w:charset w:val="01"/>
    <w:family w:val="swiss"/>
    <w:pitch w:val="default"/>
  </w:font>
  <w:font w:name="Tahoma">
    <w:charset w:val="01"/>
    <w:family w:val="roman"/>
    <w:pitch w:val="default"/>
  </w:font>
  <w:font w:name="PT Astra Serif">
    <w:charset w:val="01"/>
    <w:family w:val="roman"/>
    <w:pitch w:val="default"/>
  </w:font>
  <w:font w:name="Book Antiqua">
    <w:charset w:val="01"/>
    <w:family w:val="roman"/>
    <w:pitch w:val="default"/>
  </w:font>
  <w:font w:name="Times New Roman">
    <w:charset w:val="01"/>
    <w:family w:val="roman"/>
    <w:pitch w:val="default"/>
  </w:font>
  <w:font w:name="Courier New">
    <w:charset w:val="01"/>
    <w:family w:val="roman"/>
    <w:pitch w:val="default"/>
  </w:font>
  <w:font w:name="Tinos"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keepLines w:val="false"/>
      <w:widowControl w:val="false"/>
      <w:numPr>
        <w:ilvl w:val="0"/>
        <w:numId w:val="0"/>
      </w:numPr>
      <w:ind w:hanging="0" w:start="0"/>
      <w:jc w:val="center"/>
      <w:outlineLvl w:val="0"/>
      <w:rPr>
        <w:b w:val="false"/>
        <w:bCs w:val="false"/>
        <w:sz w:val="16"/>
        <w:szCs w:val="16"/>
      </w:rPr>
    </w:pPr>
    <w:bookmarkStart w:id="1" w:name="_GoBack_Копия_1"/>
    <w:bookmarkEnd w:id="1"/>
    <w:r>
      <w:rPr>
        <w:rFonts w:ascii="Times New Roman" w:hAnsi="Times New Roman"/>
        <w:b w:val="false"/>
        <w:bCs w:val="false"/>
        <w:sz w:val="16"/>
        <w:szCs w:val="16"/>
      </w:rPr>
      <w:t>ПРОТОКОЛ №32616166759/1</w:t>
    </w:r>
  </w:p>
  <w:p>
    <w:pPr>
      <w:pStyle w:val="Normal"/>
      <w:keepLines w:val="false"/>
      <w:widowControl w:val="false"/>
      <w:numPr>
        <w:ilvl w:val="0"/>
        <w:numId w:val="0"/>
      </w:numPr>
      <w:ind w:hanging="0" w:start="0"/>
      <w:jc w:val="center"/>
      <w:outlineLvl w:val="0"/>
      <w:rPr>
        <w:b w:val="false"/>
        <w:bCs w:val="false"/>
        <w:sz w:val="16"/>
        <w:szCs w:val="16"/>
      </w:rPr>
    </w:pPr>
    <w:r>
      <w:rPr>
        <w:rFonts w:ascii="Times New Roman" w:hAnsi="Times New Roman"/>
        <w:b w:val="false"/>
        <w:bCs w:val="false"/>
        <w:sz w:val="16"/>
        <w:szCs w:val="16"/>
      </w:rPr>
      <w:t>заседания закупочной комиссии по подведению итогов закупки</w:t>
    </w:r>
  </w:p>
  <w:p>
    <w:pPr>
      <w:pStyle w:val="Normal"/>
      <w:keepLines w:val="false"/>
      <w:widowControl w:val="false"/>
      <w:numPr>
        <w:ilvl w:val="0"/>
        <w:numId w:val="0"/>
      </w:numPr>
      <w:ind w:hanging="0" w:start="0"/>
      <w:jc w:val="center"/>
      <w:outlineLvl w:val="0"/>
      <w:rPr>
        <w:b w:val="false"/>
        <w:bCs w:val="false"/>
        <w:sz w:val="16"/>
        <w:szCs w:val="16"/>
      </w:rPr>
    </w:pPr>
    <w:r>
      <w:rPr>
        <w:rFonts w:ascii="Times New Roman" w:hAnsi="Times New Roman"/>
        <w:b w:val="false"/>
        <w:bCs w:val="false"/>
        <w:sz w:val="16"/>
        <w:szCs w:val="16"/>
      </w:rPr>
      <w:t>на право заключения договора на оказание услуг по текущему ремонту электрооборудования для нужд службы общественного питания ООО «Кольская АЭС-Авто»</w:t>
    </w:r>
  </w:p>
  <w:p>
    <w:pPr>
      <w:pStyle w:val="BodyText"/>
      <w:numPr>
        <w:ilvl w:val="0"/>
        <w:numId w:val="0"/>
      </w:numPr>
      <w:spacing w:before="0" w:after="160"/>
      <w:ind w:hanging="0" w:start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 xml:space="preserve"> PAGE </w:instrText>
    </w:r>
    <w:r>
      <w:rPr>
        <w:rFonts w:ascii="Times New Roman" w:hAnsi="Times New Roman"/>
        <w:sz w:val="16"/>
        <w:szCs w:val="16"/>
      </w:rPr>
      <w:fldChar w:fldCharType="separate"/>
    </w:r>
    <w:r>
      <w:rPr>
        <w:rFonts w:ascii="Times New Roman" w:hAnsi="Times New Roman"/>
        <w:sz w:val="16"/>
        <w:szCs w:val="16"/>
      </w:rPr>
      <w:t>1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 xml:space="preserve"> NUMPAGES </w:instrText>
    </w:r>
    <w:r>
      <w:rPr>
        <w:rFonts w:ascii="Times New Roman" w:hAnsi="Times New Roman"/>
        <w:sz w:val="16"/>
        <w:szCs w:val="16"/>
      </w:rPr>
      <w:fldChar w:fldCharType="separate"/>
    </w:r>
    <w:r>
      <w:rPr>
        <w:rFonts w:ascii="Times New Roman" w:hAnsi="Times New Roman"/>
        <w:sz w:val="16"/>
        <w:szCs w:val="16"/>
      </w:rPr>
      <w:t>1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keepLines w:val="false"/>
      <w:widowControl w:val="false"/>
      <w:numPr>
        <w:ilvl w:val="0"/>
        <w:numId w:val="0"/>
      </w:numPr>
      <w:ind w:hanging="0" w:start="0"/>
      <w:jc w:val="center"/>
      <w:outlineLvl w:val="0"/>
      <w:rPr>
        <w:b w:val="false"/>
        <w:bCs w:val="false"/>
        <w:sz w:val="16"/>
        <w:szCs w:val="16"/>
      </w:rPr>
    </w:pPr>
    <w:bookmarkStart w:id="2" w:name="_GoBack_Копия_1"/>
    <w:bookmarkEnd w:id="2"/>
    <w:r>
      <w:rPr>
        <w:rFonts w:ascii="Times New Roman" w:hAnsi="Times New Roman"/>
        <w:b w:val="false"/>
        <w:bCs w:val="false"/>
        <w:sz w:val="16"/>
        <w:szCs w:val="16"/>
      </w:rPr>
      <w:t>ПРОТОКОЛ №32616166759/1</w:t>
    </w:r>
  </w:p>
  <w:p>
    <w:pPr>
      <w:pStyle w:val="Normal"/>
      <w:keepLines w:val="false"/>
      <w:widowControl w:val="false"/>
      <w:numPr>
        <w:ilvl w:val="0"/>
        <w:numId w:val="0"/>
      </w:numPr>
      <w:ind w:hanging="0" w:start="0"/>
      <w:jc w:val="center"/>
      <w:outlineLvl w:val="0"/>
      <w:rPr>
        <w:b w:val="false"/>
        <w:bCs w:val="false"/>
        <w:sz w:val="16"/>
        <w:szCs w:val="16"/>
      </w:rPr>
    </w:pPr>
    <w:r>
      <w:rPr>
        <w:rFonts w:ascii="Times New Roman" w:hAnsi="Times New Roman"/>
        <w:b w:val="false"/>
        <w:bCs w:val="false"/>
        <w:sz w:val="16"/>
        <w:szCs w:val="16"/>
      </w:rPr>
      <w:t>заседания закупочной комиссии по подведению итогов закупки</w:t>
    </w:r>
  </w:p>
  <w:p>
    <w:pPr>
      <w:pStyle w:val="Normal"/>
      <w:keepLines w:val="false"/>
      <w:widowControl w:val="false"/>
      <w:numPr>
        <w:ilvl w:val="0"/>
        <w:numId w:val="0"/>
      </w:numPr>
      <w:ind w:hanging="0" w:start="0"/>
      <w:jc w:val="center"/>
      <w:outlineLvl w:val="0"/>
      <w:rPr>
        <w:b w:val="false"/>
        <w:bCs w:val="false"/>
        <w:sz w:val="16"/>
        <w:szCs w:val="16"/>
      </w:rPr>
    </w:pPr>
    <w:r>
      <w:rPr>
        <w:rFonts w:ascii="Times New Roman" w:hAnsi="Times New Roman"/>
        <w:b w:val="false"/>
        <w:bCs w:val="false"/>
        <w:sz w:val="16"/>
        <w:szCs w:val="16"/>
      </w:rPr>
      <w:t>на право заключения договора на оказание услуг по текущему ремонту электрооборудования для нужд службы общественного питания ООО «Кольская АЭС-Авто»</w:t>
    </w:r>
  </w:p>
  <w:p>
    <w:pPr>
      <w:pStyle w:val="BodyText"/>
      <w:numPr>
        <w:ilvl w:val="0"/>
        <w:numId w:val="0"/>
      </w:numPr>
      <w:spacing w:before="0" w:after="160"/>
      <w:ind w:hanging="0" w:start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 xml:space="preserve"> PAGE </w:instrText>
    </w:r>
    <w:r>
      <w:rPr>
        <w:rFonts w:ascii="Times New Roman" w:hAnsi="Times New Roman"/>
        <w:sz w:val="16"/>
        <w:szCs w:val="16"/>
      </w:rPr>
      <w:fldChar w:fldCharType="separate"/>
    </w:r>
    <w:r>
      <w:rPr>
        <w:rFonts w:ascii="Times New Roman" w:hAnsi="Times New Roman"/>
        <w:sz w:val="16"/>
        <w:szCs w:val="16"/>
      </w:rPr>
      <w:t>1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 xml:space="preserve"> NUMPAGES </w:instrText>
    </w:r>
    <w:r>
      <w:rPr>
        <w:rFonts w:ascii="Times New Roman" w:hAnsi="Times New Roman"/>
        <w:sz w:val="16"/>
        <w:szCs w:val="16"/>
      </w:rPr>
      <w:fldChar w:fldCharType="separate"/>
    </w:r>
    <w:r>
      <w:rPr>
        <w:rFonts w:ascii="Times New Roman" w:hAnsi="Times New Roman"/>
        <w:sz w:val="16"/>
        <w:szCs w:val="16"/>
      </w:rPr>
      <w:t>1</w:t>
    </w:r>
    <w:r>
      <w:rPr>
        <w:rFonts w:ascii="Times New Roman" w:hAnsi="Times New Roman"/>
        <w:sz w:val="16"/>
        <w:szCs w:val="16"/>
      </w:rPr>
      <w:fldChar w:fldCharType="end"/>
    </w:r>
  </w:p>
</w:ftr>
</file>

<file path=word/settings.xml><?xml version="1.0" encoding="utf-8"?>
<w:settings xmlns:w="http://schemas.openxmlformats.org/wordprocessingml/2006/main">
  <w:zoom w:percent="150"/>
  <w:defaultTabStop w:val="708"/>
  <w:autoHyphenation w:val="true"/>
  <w:hyphenationZone w:val="36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keepLines/>
      <w:widowControl/>
      <w:suppressAutoHyphens w:val="true"/>
      <w:bidi w:val="0"/>
      <w:spacing w:before="0" w:after="0"/>
      <w:jc w:val="both"/>
    </w:pPr>
    <w:rPr>
      <w:rFonts w:ascii="Arial" w:hAnsi="Arial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Heading3">
    <w:name w:val="heading 3"/>
    <w:basedOn w:val="Normal"/>
    <w:next w:val="Normal"/>
    <w:link w:val="3"/>
    <w:uiPriority w:val="99"/>
    <w:semiHidden/>
    <w:unhideWhenUsed/>
    <w:qFormat/>
    <w:pPr>
      <w:keepNext w:val="true"/>
      <w:spacing w:before="240" w:after="60"/>
      <w:outlineLvl w:val="2"/>
    </w:pPr>
    <w:rPr>
      <w:rFonts w:cs="Arial"/>
      <w:b/>
      <w:bCs/>
      <w:sz w:val="28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uiPriority w:val="99"/>
    <w:semiHidden/>
    <w:unhideWhenUsed/>
    <w:rPr>
      <w:strike w:val="false"/>
      <w:dstrike w:val="false"/>
      <w:color w:val="0063A4"/>
      <w:u w:val="none"/>
      <w:effect w:val="none"/>
    </w:rPr>
  </w:style>
  <w:style w:type="character" w:styleId="FollowedHyperlink">
    <w:name w:val="FollowedHyperlink"/>
    <w:uiPriority w:val="99"/>
    <w:semiHidden/>
    <w:unhideWhenUsed/>
    <w:rPr>
      <w:color w:val="800080"/>
      <w:u w:val="single"/>
    </w:rPr>
  </w:style>
  <w:style w:type="character" w:styleId="3" w:customStyle="1">
    <w:name w:val="Заголовок 3 Знак"/>
    <w:uiPriority w:val="99"/>
    <w:semiHidden/>
    <w:qFormat/>
    <w:locked/>
    <w:rPr>
      <w:rFonts w:ascii="Arial" w:hAnsi="Arial" w:eastAsia="Times New Roman" w:cs="Arial"/>
      <w:b/>
      <w:bCs/>
      <w:sz w:val="28"/>
      <w:szCs w:val="26"/>
      <w:lang w:eastAsia="ru-RU"/>
    </w:rPr>
  </w:style>
  <w:style w:type="character" w:styleId="Style13" w:customStyle="1">
    <w:name w:val="Текст примечания Знак"/>
    <w:uiPriority w:val="99"/>
    <w:semiHidden/>
    <w:qFormat/>
    <w:locked/>
    <w:rPr>
      <w:rFonts w:ascii="Arial" w:hAnsi="Arial" w:eastAsia="Times New Roman" w:cs="Times New Roman"/>
      <w:sz w:val="20"/>
      <w:szCs w:val="20"/>
      <w:lang w:eastAsia="ru-RU"/>
    </w:rPr>
  </w:style>
  <w:style w:type="character" w:styleId="Style14" w:customStyle="1">
    <w:name w:val="Верхний колонтитул Знак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5" w:customStyle="1">
    <w:name w:val="Нижний колонтитул Знак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6" w:customStyle="1">
    <w:name w:val="Основной текст Знак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7" w:customStyle="1">
    <w:name w:val="Текст выноски Знак"/>
    <w:link w:val="BalloonText"/>
    <w:uiPriority w:val="99"/>
    <w:semiHidden/>
    <w:qFormat/>
    <w:locked/>
    <w:rPr>
      <w:rFonts w:ascii="Tahoma" w:hAnsi="Tahoma" w:eastAsia="Times New Roman" w:cs="Tahoma"/>
      <w:sz w:val="16"/>
      <w:szCs w:val="16"/>
      <w:lang w:eastAsia="ru-RU"/>
    </w:rPr>
  </w:style>
  <w:style w:type="character" w:styleId="CommentReference">
    <w:name w:val="annotation reference"/>
    <w:uiPriority w:val="99"/>
    <w:semiHidden/>
    <w:unhideWhenUsed/>
    <w:qFormat/>
    <w:rPr>
      <w:sz w:val="16"/>
      <w:szCs w:val="16"/>
    </w:rPr>
  </w:style>
  <w:style w:type="paragraph" w:styleId="Style18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BodyText">
    <w:name w:val="Body Text"/>
    <w:basedOn w:val="Normal"/>
    <w:link w:val="Style16"/>
    <w:uiPriority w:val="99"/>
    <w:unhideWhenUsed/>
    <w:pPr>
      <w:spacing w:before="0" w:after="160"/>
    </w:pPr>
    <w:rPr/>
  </w:style>
  <w:style w:type="paragraph" w:styleId="List">
    <w:name w:val="List"/>
    <w:basedOn w:val="BodyText"/>
    <w:pPr/>
    <w:rPr>
      <w:rFonts w:ascii="PT Astra Serif" w:hAnsi="PT Astra Serif"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CommentText">
    <w:name w:val="annotation text"/>
    <w:basedOn w:val="Normal"/>
    <w:link w:val="Style13"/>
    <w:uiPriority w:val="99"/>
    <w:semiHidden/>
    <w:unhideWhenUsed/>
    <w:qFormat/>
    <w:pPr/>
    <w:rPr>
      <w:sz w:val="20"/>
      <w:szCs w:val="20"/>
    </w:rPr>
  </w:style>
  <w:style w:type="paragraph" w:styleId="Style20">
    <w:name w:val="Колонтитул"/>
    <w:basedOn w:val="Normal"/>
    <w:qFormat/>
    <w:pPr/>
    <w:rPr/>
  </w:style>
  <w:style w:type="paragraph" w:styleId="user2">
    <w:name w:val="Колонтитулы (user)"/>
    <w:basedOn w:val="Normal"/>
    <w:qFormat/>
    <w:pPr/>
    <w:rPr/>
  </w:style>
  <w:style w:type="paragraph" w:styleId="Style21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link w:val="Style15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link w:val="Style17"/>
    <w:uiPriority w:val="99"/>
    <w:semiHidden/>
    <w:unhideWhenUsed/>
    <w:qFormat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pPr>
      <w:spacing w:before="0" w:after="0"/>
      <w:ind w:hanging="0" w:start="720"/>
      <w:contextualSpacing/>
    </w:pPr>
    <w:rPr/>
  </w:style>
  <w:style w:type="paragraph" w:styleId="31" w:customStyle="1">
    <w:name w:val="Основной текст 31"/>
    <w:basedOn w:val="Normal"/>
    <w:uiPriority w:val="99"/>
    <w:qFormat/>
    <w:pPr>
      <w:keepLines w:val="false"/>
      <w:suppressAutoHyphens w:val="true"/>
      <w:spacing w:before="0" w:after="120"/>
      <w:jc w:val="start"/>
    </w:pPr>
    <w:rPr>
      <w:rFonts w:ascii="Book Antiqua" w:hAnsi="Book Antiqua" w:cs="Book Antiqua"/>
      <w:sz w:val="16"/>
      <w:szCs w:val="16"/>
      <w:lang w:eastAsia="ar-SA"/>
    </w:rPr>
  </w:style>
  <w:style w:type="paragraph" w:styleId="311" w:customStyle="1">
    <w:name w:val="Основной текст с отступом 31"/>
    <w:basedOn w:val="Normal"/>
    <w:uiPriority w:val="99"/>
    <w:qFormat/>
    <w:pPr>
      <w:keepLines w:val="false"/>
      <w:suppressAutoHyphens w:val="true"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Style22" w:customStyle="1">
    <w:name w:val="* С выравниванием по левому краю"/>
    <w:uiPriority w:val="99"/>
    <w:qFormat/>
    <w:pPr>
      <w:widowControl w:val="false"/>
      <w:suppressAutoHyphens w:val="true"/>
      <w:bidi w:val="0"/>
      <w:spacing w:lineRule="atLeast" w:line="240" w:before="0" w:after="0"/>
      <w:jc w:val="start"/>
    </w:pPr>
    <w:rPr>
      <w:rFonts w:ascii="Courier New" w:hAnsi="Courier New" w:eastAsia="Times New Roman" w:cs="Courier New"/>
      <w:color w:val="auto"/>
      <w:kern w:val="0"/>
      <w:sz w:val="24"/>
      <w:szCs w:val="24"/>
      <w:lang w:val="ru-RU" w:eastAsia="ru-RU" w:bidi="ar-SA"/>
    </w:rPr>
  </w:style>
  <w:style w:type="paragraph" w:styleId="NormalWeb">
    <w:name w:val="Normal (Web)"/>
    <w:basedOn w:val="Normal"/>
    <w:uiPriority w:val="99"/>
    <w:semiHidden/>
    <w:unhideWhenUsed/>
    <w:qFormat/>
    <w:pPr>
      <w:keepLines w:val="false"/>
      <w:spacing w:beforeAutospacing="1" w:afterAutospacing="1"/>
      <w:jc w:val="start"/>
    </w:pPr>
    <w:rPr>
      <w:rFonts w:ascii="Times New Roman" w:hAnsi="Times New Roman" w:eastAsia="" w:eastAsiaTheme="minorEastAsia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er" Target="foot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9F5EB8-F59B-4148-B83F-02200299ED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Application>LibreOffice/25.8.4.2$Linux_X86_64 LibreOffice_project/580$Build-2</Application>
  <AppVersion>15.0000</AppVersion>
  <Pages>1</Pages>
  <Words>404</Words>
  <Characters>2736</Characters>
  <CharactersWithSpaces>3115</CharactersWithSpaces>
  <Paragraphs>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2024-03-28T05:41:00Z</dcterms:created>
  <dc:creator>ss</dc:creator>
  <dc:description/>
  <dc:language>ru-RU</dc:language>
  <cp:lastModifiedBy/>
  <cp:lastPrinted>2026-07-09T09:09:16Z</cp:lastPrinted>
  <dcterms:modified xsi:type="dcterms:W3CDTF">2026-07-09T09:09:41Z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