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ПРОТОКОЛ</w:t>
      </w:r>
      <w:r>
        <w:rPr>
          <w:rFonts w:ascii="PT Astra Serif" w:hAnsi="PT Astra Serif"/>
          <w:b w:val="1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№</w:t>
      </w:r>
      <w:r>
        <w:rPr>
          <w:rFonts w:ascii="PT Astra Serif" w:hAnsi="PT Astra Serif"/>
          <w:b w:val="1"/>
          <w:sz w:val="22"/>
        </w:rPr>
        <w:t xml:space="preserve"> 222360/1</w:t>
      </w:r>
    </w:p>
    <w:p w14:paraId="07000000">
      <w:pPr>
        <w:pStyle w:val="Style_1"/>
        <w:widowControl w:val="1"/>
        <w:ind/>
        <w:jc w:val="center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заседания закупочной комиссии по подведению итогов закупки на право</w:t>
      </w:r>
    </w:p>
    <w:p w14:paraId="08000000">
      <w:pPr>
        <w:widowControl w:val="1"/>
        <w:spacing w:after="200" w:line="240" w:lineRule="auto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заключения договора на</w:t>
      </w:r>
      <w:r>
        <w:rPr>
          <w:rFonts w:ascii="PT Astra Serif" w:hAnsi="PT Astra Serif"/>
          <w:b w:val="1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оказание комплекса услуг по организации охраняемой стоянки, мойке и хранения автошин, колесных дисков автотранспортных средств обособленного подразделения ООО «Калининская АЭС-Сервис» на Балтийской АЭС</w:t>
      </w:r>
      <w:r>
        <w:rPr>
          <w:rFonts w:ascii="PT Astra Serif" w:hAnsi="PT Astra Serif"/>
          <w:b w:val="1"/>
          <w:sz w:val="22"/>
        </w:rPr>
        <w:t>.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(ГПЗ 1218330/218991)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4955"/>
        <w:gridCol w:w="4292"/>
      </w:tblGrid>
      <w:tr>
        <w:trPr>
          <w:trHeight w:hRule="atLeast" w:val="1"/>
        </w:trPr>
        <w:tc>
          <w:tcPr>
            <w:tcW w:type="dxa" w:w="49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9000000">
            <w:pPr>
              <w:widowControl w:val="1"/>
              <w:spacing w:after="0" w:line="240" w:lineRule="auto"/>
              <w:ind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г. </w:t>
            </w:r>
            <w:r>
              <w:rPr>
                <w:rFonts w:ascii="PT Astra Serif" w:hAnsi="PT Astra Serif"/>
                <w:sz w:val="22"/>
              </w:rPr>
              <w:t>Удомля</w:t>
            </w:r>
          </w:p>
        </w:tc>
        <w:tc>
          <w:tcPr>
            <w:tcW w:type="dxa" w:w="4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A000000">
            <w:pPr>
              <w:widowControl w:val="1"/>
              <w:tabs>
                <w:tab w:leader="none" w:pos="252" w:val="left"/>
              </w:tabs>
              <w:spacing w:after="0" w:line="240" w:lineRule="auto"/>
              <w:ind/>
              <w:jc w:val="right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sz w:val="22"/>
              </w:rPr>
              <w:t>«14» июля 2026</w:t>
            </w:r>
          </w:p>
        </w:tc>
      </w:tr>
    </w:tbl>
    <w:p w14:paraId="0B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Информация о закупке:</w:t>
      </w:r>
    </w:p>
    <w:p w14:paraId="0C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color w:val="4F81BD"/>
          <w:sz w:val="22"/>
        </w:rPr>
      </w:pPr>
      <w:r>
        <w:rPr>
          <w:rFonts w:ascii="PT Astra Serif" w:hAnsi="PT Astra Serif"/>
          <w:b w:val="1"/>
          <w:sz w:val="22"/>
        </w:rPr>
        <w:t>Заказчик: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D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Организатор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 xml:space="preserve">: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E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color w:val="000000"/>
          <w:sz w:val="22"/>
        </w:rPr>
        <w:t>Способ 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color w:val="000000"/>
          <w:sz w:val="22"/>
        </w:rPr>
        <w:t>Открытый запрос предложений в электронной форме</w:t>
      </w:r>
      <w:r>
        <w:rPr>
          <w:rFonts w:ascii="PT Astra Serif" w:hAnsi="PT Astra Serif"/>
          <w:sz w:val="22"/>
        </w:rPr>
        <w:t>, участниками которого могут быть только субъекты малого и среднего предпринимательства.</w:t>
      </w:r>
    </w:p>
    <w:p w14:paraId="0F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 w:right="153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Предмет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 xml:space="preserve">право заключения договора на </w:t>
      </w:r>
      <w:r>
        <w:rPr>
          <w:rFonts w:ascii="PT Astra Serif" w:hAnsi="PT Astra Serif"/>
          <w:sz w:val="22"/>
        </w:rPr>
        <w:t>оказание комплекса услуг по организации охраняемой стоянки, мойке и хранения автошин, колесных дисков автотранспортных средств обособленного подразделения ООО «Калининская АЭС-Сервис» на Балтийской АЭС</w:t>
      </w:r>
      <w:r>
        <w:rPr>
          <w:rFonts w:ascii="PT Astra Serif" w:hAnsi="PT Astra Serif"/>
          <w:sz w:val="22"/>
        </w:rPr>
        <w:t>.</w:t>
      </w:r>
    </w:p>
    <w:p w14:paraId="10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Состав и объем</w:t>
      </w:r>
      <w:r>
        <w:rPr>
          <w:rFonts w:ascii="PT Astra Serif" w:hAnsi="PT Astra Serif"/>
          <w:b w:val="1"/>
          <w:sz w:val="22"/>
        </w:rPr>
        <w:t xml:space="preserve"> услуг: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все необходимые сведения приведены в Томе 2 закупочной документации.</w:t>
      </w:r>
    </w:p>
    <w:p w14:paraId="11000000">
      <w:pPr>
        <w:widowControl w:val="1"/>
        <w:tabs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Срок </w:t>
      </w:r>
      <w:r>
        <w:rPr>
          <w:rFonts w:ascii="PT Astra Serif" w:hAnsi="PT Astra Serif"/>
          <w:b w:val="1"/>
          <w:sz w:val="22"/>
        </w:rPr>
        <w:t>оказания услуг: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 соответствии с проектом договора</w:t>
      </w:r>
      <w:r>
        <w:rPr>
          <w:rFonts w:ascii="PT Astra Serif" w:hAnsi="PT Astra Serif"/>
          <w:sz w:val="22"/>
        </w:rPr>
        <w:t>.</w:t>
      </w:r>
    </w:p>
    <w:p w14:paraId="12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Начальная (максимальная) цена договора: </w:t>
      </w:r>
      <w:r>
        <w:rPr>
          <w:rFonts w:ascii="PT Astra Serif" w:hAnsi="PT Astra Serif"/>
          <w:b w:val="1"/>
          <w:sz w:val="22"/>
        </w:rPr>
        <w:t>5</w:t>
      </w:r>
      <w:r>
        <w:rPr>
          <w:rFonts w:ascii="PT Astra Serif" w:hAnsi="PT Astra Serif"/>
          <w:sz w:val="22"/>
        </w:rPr>
        <w:t xml:space="preserve">64 897,08 (Пятьсот шестьдесят четыре тысячи восемьсот девяносто семь) рублей 08 копеек, с </w:t>
      </w:r>
      <w:r>
        <w:rPr>
          <w:rFonts w:ascii="PT Astra Serif" w:hAnsi="PT Astra Serif"/>
          <w:color w:val="000000"/>
          <w:sz w:val="22"/>
        </w:rPr>
        <w:t>учетом всех налогов, сб</w:t>
      </w:r>
      <w:r>
        <w:rPr>
          <w:rFonts w:ascii="PT Astra Serif" w:hAnsi="PT Astra Serif"/>
          <w:color w:val="000000"/>
          <w:sz w:val="22"/>
        </w:rPr>
        <w:t>оров и прочих расходов в соответствии с законодательств</w:t>
      </w:r>
      <w:r>
        <w:rPr>
          <w:rFonts w:ascii="PT Astra Serif" w:hAnsi="PT Astra Serif"/>
          <w:color w:val="000000"/>
          <w:sz w:val="22"/>
        </w:rPr>
        <w:t xml:space="preserve">ом РФ. </w:t>
      </w:r>
      <w:r>
        <w:rPr>
          <w:rFonts w:ascii="PT Astra Serif" w:hAnsi="PT Astra Serif"/>
          <w:color w:val="000000"/>
          <w:sz w:val="22"/>
        </w:rPr>
        <w:br/>
      </w:r>
      <w:r>
        <w:rPr>
          <w:rFonts w:ascii="PT Astra Serif" w:hAnsi="PT Astra Serif"/>
          <w:b w:val="1"/>
          <w:sz w:val="22"/>
        </w:rPr>
        <w:t>Начальная (максимальная) цена единицы продукции</w:t>
      </w:r>
      <w:r>
        <w:rPr>
          <w:rFonts w:ascii="PT Astra Serif" w:hAnsi="PT Astra Serif"/>
          <w:b w:val="1"/>
          <w:sz w:val="22"/>
        </w:rPr>
        <w:t>: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6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№ п/п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Наименование продукции</w:t>
            </w:r>
          </w:p>
        </w:tc>
        <w:tc>
          <w:tcPr>
            <w:tcW w:type="dxa" w:w="30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Начальная (максимальная) цена единицы продукции, руб., с учетом НДС</w:t>
            </w:r>
            <w:r>
              <w:rPr>
                <w:rFonts w:ascii="PT Astra Serif" w:hAnsi="PT Astra Serif"/>
                <w:b w:val="1"/>
                <w:sz w:val="22"/>
              </w:rPr>
              <w:t xml:space="preserve"> 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Мойка автотранспортных средств (категории В)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404 999,74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Сезонное хранение 15 (пятнадцати) комплектов автошин, колесных дисков транспортных средств на территории Исполнителя 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51 900,26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Предоставление 3 (трех) машиномест для круглосуточной стоянки на закрытой, охраняемой территории Исполнителя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107 997,08</w:t>
            </w:r>
          </w:p>
        </w:tc>
      </w:tr>
    </w:tbl>
    <w:p w14:paraId="1F000000">
      <w:pPr>
        <w:widowControl w:val="1"/>
        <w:tabs>
          <w:tab w:leader="none" w:pos="709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Извещение о проведении закупки (закупочная документация)</w:t>
      </w:r>
      <w:r>
        <w:rPr>
          <w:rFonts w:ascii="PT Astra Serif" w:hAnsi="PT Astra Serif"/>
          <w:sz w:val="22"/>
        </w:rPr>
        <w:t xml:space="preserve"> опубликованы  </w:t>
      </w:r>
      <w:r>
        <w:rPr>
          <w:rFonts w:ascii="PT Astra Serif" w:hAnsi="PT Astra Serif"/>
          <w:sz w:val="22"/>
        </w:rPr>
        <w:t>«03» июля 2026</w:t>
      </w:r>
      <w:r>
        <w:rPr>
          <w:rFonts w:ascii="PT Astra Serif" w:hAnsi="PT Astra Serif"/>
          <w:sz w:val="22"/>
        </w:rPr>
        <w:t xml:space="preserve">, на официальном государственном сайте </w:t>
      </w:r>
      <w:r>
        <w:rPr>
          <w:rFonts w:ascii="PT Astra Serif" w:hAnsi="PT Astra Serif"/>
          <w:color w:val="0000FF"/>
          <w:sz w:val="22"/>
        </w:rPr>
        <w:t>http://www.zakupki.gov.ru/</w:t>
      </w:r>
      <w:r>
        <w:rPr>
          <w:rFonts w:ascii="PT Astra Serif" w:hAnsi="PT Astra Serif"/>
          <w:sz w:val="22"/>
        </w:rPr>
        <w:t>, закупка № 32616174140</w:t>
      </w:r>
      <w:r>
        <w:rPr>
          <w:rFonts w:ascii="PT Astra Serif" w:hAnsi="PT Astra Serif"/>
          <w:sz w:val="22"/>
        </w:rPr>
        <w:t xml:space="preserve">, на официальном сайте по закупкам атомной отрасли </w:t>
      </w:r>
      <w:r>
        <w:rPr>
          <w:rFonts w:ascii="PT Astra Serif" w:hAnsi="PT Astra Serif"/>
          <w:color w:val="0000FF"/>
          <w:sz w:val="22"/>
        </w:rPr>
        <w:t>http://zakupki.rosatom.ru/</w:t>
      </w:r>
      <w:r>
        <w:rPr>
          <w:rFonts w:ascii="PT Astra Serif" w:hAnsi="PT Astra Serif"/>
          <w:sz w:val="22"/>
        </w:rPr>
        <w:t>, закупка № 218991</w:t>
      </w:r>
      <w:r>
        <w:rPr>
          <w:rFonts w:ascii="PT Astra Serif" w:hAnsi="PT Astra Serif"/>
          <w:sz w:val="22"/>
        </w:rPr>
        <w:t>, на ЭТП ЭТС (НЭП), закупка № 32616174140.</w:t>
      </w:r>
    </w:p>
    <w:p w14:paraId="20000000">
      <w:pPr>
        <w:widowControl w:val="1"/>
        <w:spacing w:after="20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sz w:val="22"/>
        </w:rPr>
        <w:t>Заседание</w:t>
      </w:r>
      <w:r>
        <w:rPr>
          <w:rFonts w:ascii="PT Astra Serif" w:hAnsi="PT Astra Serif"/>
          <w:spacing w:val="-4"/>
          <w:sz w:val="22"/>
        </w:rPr>
        <w:t xml:space="preserve"> </w:t>
      </w:r>
      <w:r>
        <w:rPr>
          <w:rFonts w:ascii="PT Astra Serif" w:hAnsi="PT Astra Serif"/>
          <w:sz w:val="22"/>
        </w:rPr>
        <w:t>закупочной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комиссии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проводится</w:t>
      </w:r>
      <w:r>
        <w:rPr>
          <w:rFonts w:ascii="PT Astra Serif" w:hAnsi="PT Astra Serif"/>
          <w:spacing w:val="-3"/>
          <w:sz w:val="22"/>
        </w:rPr>
        <w:t xml:space="preserve"> </w:t>
      </w:r>
      <w:r>
        <w:rPr>
          <w:rFonts w:ascii="PT Astra Serif" w:hAnsi="PT Astra Serif"/>
          <w:sz w:val="22"/>
        </w:rPr>
        <w:t>в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очной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форме</w:t>
      </w:r>
      <w:r>
        <w:rPr>
          <w:rFonts w:ascii="PT Astra Serif" w:hAnsi="PT Astra Serif"/>
          <w:spacing w:val="-3"/>
          <w:sz w:val="22"/>
        </w:rPr>
        <w:t xml:space="preserve"> </w:t>
      </w:r>
      <w:r>
        <w:rPr>
          <w:rFonts w:ascii="PT Astra Serif" w:hAnsi="PT Astra Serif"/>
          <w:sz w:val="22"/>
        </w:rPr>
        <w:t>в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11:00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(время</w:t>
      </w:r>
      <w:r>
        <w:rPr>
          <w:rFonts w:ascii="PT Astra Serif" w:hAnsi="PT Astra Serif"/>
          <w:spacing w:val="-3"/>
          <w:sz w:val="22"/>
        </w:rPr>
        <w:t xml:space="preserve"> </w:t>
      </w:r>
      <w:r>
        <w:rPr>
          <w:rFonts w:ascii="PT Astra Serif" w:hAnsi="PT Astra Serif"/>
          <w:spacing w:val="-2"/>
          <w:sz w:val="22"/>
        </w:rPr>
        <w:t xml:space="preserve">московское) </w:t>
      </w:r>
      <w:r>
        <w:rPr>
          <w:rFonts w:ascii="PT Astra Serif" w:hAnsi="PT Astra Serif"/>
          <w:sz w:val="22"/>
        </w:rPr>
        <w:t xml:space="preserve">«14» июля 2026 года, по адресу: Тверская обл., г. Удомля, ул. Тверская, дом 7. </w:t>
      </w:r>
      <w:r>
        <w:rPr>
          <w:rFonts w:ascii="PT Astra Serif" w:hAnsi="PT Astra Serif"/>
          <w:sz w:val="22"/>
        </w:rPr>
        <w:br/>
      </w:r>
      <w:r>
        <w:rPr>
          <w:rFonts w:ascii="PT Astra Serif" w:hAnsi="PT Astra Serif"/>
          <w:b w:val="1"/>
          <w:sz w:val="22"/>
        </w:rPr>
        <w:t>Заседание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проводится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в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присутствии</w:t>
      </w:r>
      <w:r>
        <w:rPr>
          <w:rFonts w:ascii="PT Astra Serif" w:hAnsi="PT Astra Serif"/>
          <w:b w:val="1"/>
          <w:spacing w:val="-5"/>
          <w:sz w:val="22"/>
        </w:rPr>
        <w:t xml:space="preserve"> 7 </w:t>
      </w:r>
      <w:r>
        <w:rPr>
          <w:rFonts w:ascii="PT Astra Serif" w:hAnsi="PT Astra Serif"/>
          <w:b w:val="1"/>
          <w:sz w:val="22"/>
        </w:rPr>
        <w:t>из</w:t>
      </w:r>
      <w:r>
        <w:rPr>
          <w:rFonts w:ascii="PT Astra Serif" w:hAnsi="PT Astra Serif"/>
          <w:b w:val="1"/>
          <w:spacing w:val="-5"/>
          <w:sz w:val="22"/>
        </w:rPr>
        <w:t xml:space="preserve"> 8 </w:t>
      </w:r>
      <w:r>
        <w:rPr>
          <w:rFonts w:ascii="PT Astra Serif" w:hAnsi="PT Astra Serif"/>
          <w:b w:val="1"/>
          <w:sz w:val="22"/>
        </w:rPr>
        <w:t>членов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закупочной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 xml:space="preserve">комиссии. 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Кворум имеется.</w:t>
      </w:r>
    </w:p>
    <w:tbl>
      <w:tblPr>
        <w:tblStyle w:val="Style_3"/>
        <w:tblW w:type="auto" w:w="0"/>
        <w:jc w:val="left"/>
        <w:tblInd w:type="dxa" w:w="289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4772"/>
        <w:gridCol w:w="4351"/>
      </w:tblGrid>
      <w:tr>
        <w:trPr>
          <w:trHeight w:hRule="atLeast" w:val="295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1000000">
            <w:pPr>
              <w:widowControl w:val="1"/>
              <w:spacing w:after="0" w:before="8" w:line="268" w:lineRule="exact"/>
              <w:ind w:left="20" w:right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5"/>
                <w:sz w:val="22"/>
              </w:rPr>
              <w:t>ФИО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2000000">
            <w:pPr>
              <w:widowControl w:val="1"/>
              <w:spacing w:after="0" w:before="8" w:line="268" w:lineRule="exact"/>
              <w:ind w:left="15" w:right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2"/>
                <w:sz w:val="22"/>
              </w:rPr>
              <w:t>Должность</w:t>
            </w:r>
          </w:p>
        </w:tc>
      </w:tr>
      <w:tr>
        <w:trPr>
          <w:trHeight w:hRule="atLeast" w:val="285"/>
        </w:trPr>
        <w:tc>
          <w:tcPr>
            <w:tcW w:type="dxa" w:w="9123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3000000">
            <w:pPr>
              <w:widowControl w:val="1"/>
              <w:spacing w:line="266" w:lineRule="exact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Председатель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комиссии:</w:t>
            </w:r>
          </w:p>
        </w:tc>
      </w:tr>
      <w:tr>
        <w:trPr>
          <w:trHeight w:hRule="atLeast" w:val="617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4000000">
            <w:pPr>
              <w:widowControl w:val="1"/>
              <w:spacing w:after="0" w:before="136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pacing w:val="-2"/>
                <w:sz w:val="22"/>
              </w:rPr>
              <w:t>Егоров Валерий Владимирович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500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pacing w:val="-2"/>
                <w:sz w:val="22"/>
              </w:rPr>
              <w:t>Заместитель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2"/>
                <w:sz w:val="22"/>
              </w:rPr>
              <w:t>генерального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2"/>
                <w:sz w:val="22"/>
              </w:rPr>
              <w:t>директора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6"/>
                <w:sz w:val="22"/>
              </w:rPr>
              <w:t>по общим вопросам</w:t>
            </w:r>
          </w:p>
        </w:tc>
      </w:tr>
      <w:tr>
        <w:trPr>
          <w:trHeight w:hRule="atLeast" w:val="285"/>
        </w:trPr>
        <w:tc>
          <w:tcPr>
            <w:tcW w:type="dxa" w:w="9123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6000000">
            <w:pPr>
              <w:widowControl w:val="1"/>
              <w:spacing w:line="266" w:lineRule="exact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Члены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4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комиссии:</w:t>
            </w:r>
          </w:p>
        </w:tc>
      </w:tr>
      <w:tr>
        <w:trPr>
          <w:trHeight w:hRule="atLeast" w:val="561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7000000">
            <w:pPr>
              <w:widowControl w:val="1"/>
              <w:spacing w:after="0" w:before="136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Сахибгареева</w:t>
            </w:r>
            <w:r>
              <w:rPr>
                <w:rFonts w:ascii="PT Astra Serif" w:hAnsi="PT Astra Serif"/>
                <w:spacing w:val="-2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Елена</w:t>
            </w:r>
            <w:r>
              <w:rPr>
                <w:rFonts w:ascii="PT Astra Serif" w:hAnsi="PT Astra Serif"/>
                <w:spacing w:val="-1"/>
                <w:sz w:val="22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2"/>
              </w:rPr>
              <w:t>Александровна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800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pacing w:val="-2"/>
                <w:sz w:val="22"/>
              </w:rPr>
              <w:t>Заместитель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2"/>
                <w:sz w:val="22"/>
              </w:rPr>
              <w:t>генерального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2"/>
                <w:sz w:val="22"/>
              </w:rPr>
              <w:t>директора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6"/>
                <w:sz w:val="22"/>
              </w:rPr>
              <w:t xml:space="preserve">по </w:t>
            </w:r>
            <w:r>
              <w:rPr>
                <w:rFonts w:ascii="PT Astra Serif" w:hAnsi="PT Astra Serif"/>
                <w:sz w:val="22"/>
              </w:rPr>
              <w:t>экономике и финансам</w:t>
            </w:r>
          </w:p>
        </w:tc>
      </w:tr>
      <w:tr>
        <w:trPr>
          <w:trHeight w:hRule="atLeast" w:val="561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9000000">
            <w:pPr>
              <w:widowControl w:val="1"/>
              <w:spacing w:after="0" w:before="136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Галахов Денис Сергеевич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A00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Заместитель генерального директора по безопасности и защите активов</w:t>
            </w:r>
          </w:p>
        </w:tc>
      </w:tr>
      <w:tr>
        <w:trPr>
          <w:trHeight w:hRule="atLeast" w:val="561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B000000">
            <w:pPr>
              <w:widowControl w:val="1"/>
              <w:spacing w:after="0" w:before="136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Смирнова Наталья Михайловна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C00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Заместитель главного бухгалтера</w:t>
            </w:r>
          </w:p>
        </w:tc>
      </w:tr>
      <w:tr>
        <w:trPr>
          <w:trHeight w:hRule="atLeast" w:val="285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D000000">
            <w:pPr>
              <w:widowControl w:val="1"/>
              <w:spacing w:line="266" w:lineRule="exact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Цветкова Диана Сергеевна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E000000">
            <w:pPr>
              <w:widowControl w:val="1"/>
              <w:spacing w:line="266" w:lineRule="exact"/>
              <w:ind w:left="5" w:right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Руководитель группы правового обеспечения</w:t>
            </w:r>
          </w:p>
        </w:tc>
      </w:tr>
      <w:tr>
        <w:trPr>
          <w:trHeight w:hRule="atLeast" w:val="285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F000000">
            <w:pPr>
              <w:widowControl w:val="1"/>
              <w:spacing w:line="266" w:lineRule="exact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Гайсина Антонина Владимировна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30000000">
            <w:pPr>
              <w:widowControl w:val="1"/>
              <w:spacing w:line="266" w:lineRule="exact"/>
              <w:ind w:left="5" w:right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Начальник отдела организации закупок и материально-технического обеспечения</w:t>
            </w:r>
          </w:p>
        </w:tc>
      </w:tr>
      <w:tr>
        <w:trPr>
          <w:trHeight w:hRule="atLeast" w:val="243"/>
        </w:trPr>
        <w:tc>
          <w:tcPr>
            <w:tcW w:type="dxa" w:w="9123"/>
            <w:gridSpan w:val="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31000000">
            <w:pPr>
              <w:widowControl w:val="1"/>
              <w:spacing w:after="0" w:before="5" w:line="266" w:lineRule="exact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Секретарь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комиссии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(с</w:t>
            </w:r>
            <w:r>
              <w:rPr>
                <w:rFonts w:ascii="PT Astra Serif" w:hAnsi="PT Astra Serif"/>
                <w:b w:val="1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правом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голоса)</w:t>
            </w:r>
          </w:p>
        </w:tc>
      </w:tr>
      <w:tr>
        <w:trPr>
          <w:trHeight w:hRule="atLeast" w:val="243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32000000">
            <w:pPr>
              <w:widowControl w:val="1"/>
              <w:spacing w:after="0" w:before="124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Ганина</w:t>
            </w:r>
            <w:r>
              <w:rPr>
                <w:rFonts w:ascii="PT Astra Serif" w:hAnsi="PT Astra Serif"/>
                <w:spacing w:val="-3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Светлана</w:t>
            </w:r>
            <w:r>
              <w:rPr>
                <w:rFonts w:ascii="PT Astra Serif" w:hAnsi="PT Astra Serif"/>
                <w:spacing w:val="-1"/>
                <w:sz w:val="22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2"/>
              </w:rPr>
              <w:t>Ярославовна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33000000">
            <w:pPr>
              <w:widowControl w:val="1"/>
              <w:spacing w:after="0" w:before="124"/>
              <w:ind w:left="5" w:right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Руководитель</w:t>
            </w:r>
            <w:r>
              <w:rPr>
                <w:rFonts w:ascii="PT Astra Serif" w:hAnsi="PT Astra Serif"/>
                <w:spacing w:val="-8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группы</w:t>
            </w:r>
            <w:r>
              <w:rPr>
                <w:rFonts w:ascii="PT Astra Serif" w:hAnsi="PT Astra Serif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организации</w:t>
            </w:r>
            <w:r>
              <w:rPr>
                <w:rFonts w:ascii="PT Astra Serif" w:hAnsi="PT Astra Serif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2"/>
              </w:rPr>
              <w:t>закупок</w:t>
            </w:r>
          </w:p>
        </w:tc>
      </w:tr>
    </w:tbl>
    <w:p w14:paraId="34000000">
      <w:pPr>
        <w:widowControl w:val="1"/>
        <w:ind w:left="261"/>
        <w:jc w:val="both"/>
        <w:rPr>
          <w:rFonts w:ascii="PT Astra Serif" w:hAnsi="PT Astra Serif"/>
          <w:b w:val="0"/>
          <w:sz w:val="22"/>
        </w:rPr>
      </w:pPr>
      <w:r>
        <w:rPr>
          <w:rFonts w:ascii="PT Astra Serif" w:hAnsi="PT Astra Serif"/>
          <w:b w:val="1"/>
          <w:spacing w:val="-2"/>
          <w:sz w:val="22"/>
        </w:rPr>
        <w:t>​</w:t>
      </w:r>
      <w:r>
        <w:rPr>
          <w:rFonts w:ascii="PT Astra Serif" w:hAnsi="PT Astra Serif"/>
          <w:b w:val="0"/>
          <w:spacing w:val="-2"/>
          <w:sz w:val="22"/>
        </w:rPr>
        <w:t>На заседании закупочной комиссии ведется аудиозапись по рассмотрению предложений Участников.</w:t>
      </w:r>
    </w:p>
    <w:p w14:paraId="35000000">
      <w:pPr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Срок окончания подачи заявок на участие в закупке </w:t>
      </w:r>
      <w:r>
        <w:rPr>
          <w:rFonts w:ascii="PT Astra Serif" w:hAnsi="PT Astra Serif"/>
          <w:sz w:val="22"/>
        </w:rPr>
        <w:t>10:00</w:t>
      </w:r>
      <w:r>
        <w:rPr>
          <w:rFonts w:ascii="PT Astra Serif" w:hAnsi="PT Astra Serif"/>
          <w:sz w:val="22"/>
        </w:rPr>
        <w:t xml:space="preserve"> (время московское) </w:t>
      </w:r>
      <w:r>
        <w:rPr>
          <w:rFonts w:ascii="PT Astra Serif" w:hAnsi="PT Astra Serif"/>
          <w:sz w:val="22"/>
        </w:rPr>
        <w:t>«13» июля 2026</w:t>
      </w:r>
      <w:r>
        <w:rPr>
          <w:rFonts w:ascii="PT Astra Serif" w:hAnsi="PT Astra Serif"/>
          <w:sz w:val="22"/>
        </w:rPr>
        <w:t xml:space="preserve"> года. </w:t>
      </w:r>
    </w:p>
    <w:p w14:paraId="36000000">
      <w:pPr>
        <w:widowControl w:val="1"/>
        <w:spacing w:after="0" w:line="240" w:lineRule="auto"/>
        <w:ind/>
        <w:jc w:val="both"/>
        <w:rPr>
          <w:rFonts w:ascii="PT Astra Serif" w:hAnsi="PT Astra Serif"/>
          <w:b w:val="1"/>
          <w:sz w:val="22"/>
          <w:u w:val="single"/>
        </w:rPr>
      </w:pPr>
      <w:r>
        <w:rPr>
          <w:rFonts w:ascii="PT Astra Serif" w:hAnsi="PT Astra Serif"/>
          <w:sz w:val="22"/>
        </w:rPr>
        <w:t xml:space="preserve">Количество поданных на ЭТП </w:t>
      </w:r>
      <w:r>
        <w:rPr>
          <w:rFonts w:ascii="PT Astra Serif" w:hAnsi="PT Astra Serif"/>
          <w:sz w:val="22"/>
        </w:rPr>
        <w:t>ЭТС (НЭП)</w:t>
      </w:r>
      <w:r>
        <w:rPr>
          <w:rFonts w:ascii="PT Astra Serif" w:hAnsi="PT Astra Serif"/>
          <w:b w:val="1"/>
          <w:sz w:val="22"/>
          <w:u w:val="single"/>
        </w:rPr>
        <w:t xml:space="preserve"> заявок на участие в закупке - </w:t>
      </w:r>
      <w:r>
        <w:rPr>
          <w:rFonts w:ascii="PT Astra Serif" w:hAnsi="PT Astra Serif"/>
          <w:b w:val="1"/>
          <w:sz w:val="22"/>
          <w:u w:val="single"/>
        </w:rPr>
        <w:t>1</w:t>
      </w:r>
      <w:r>
        <w:rPr>
          <w:rFonts w:ascii="PT Astra Serif" w:hAnsi="PT Astra Serif"/>
          <w:b w:val="1"/>
          <w:sz w:val="22"/>
          <w:u w:val="single"/>
        </w:rPr>
        <w:t>.</w:t>
      </w:r>
    </w:p>
    <w:p w14:paraId="37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Согласно результатам открытия доступа </w:t>
      </w:r>
      <w:r>
        <w:rPr>
          <w:rFonts w:ascii="PT Astra Serif" w:hAnsi="PT Astra Serif"/>
          <w:sz w:val="22"/>
        </w:rPr>
        <w:t>к заявкам</w:t>
      </w:r>
      <w:r>
        <w:rPr>
          <w:rFonts w:ascii="PT Astra Serif" w:hAnsi="PT Astra Serif"/>
          <w:sz w:val="22"/>
        </w:rPr>
        <w:t xml:space="preserve"> на участие в закупке: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 xml:space="preserve">Рег. </w:t>
            </w:r>
            <w:r>
              <w:rPr>
                <w:rFonts w:ascii="PT Astra Serif" w:hAnsi="PT Astra Serif"/>
                <w:b w:val="1"/>
                <w:sz w:val="22"/>
              </w:rPr>
              <w:t>№</w:t>
            </w:r>
            <w:r>
              <w:rPr>
                <w:rFonts w:ascii="PT Astra Serif" w:hAnsi="PT Astra Serif"/>
                <w:b w:val="1"/>
                <w:sz w:val="22"/>
              </w:rPr>
              <w:t xml:space="preserve"> заявки на ЭТП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Дата и время регистрации заявки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32616174140-1-1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12:50 (время московское) «06» июля 2026 года</w:t>
            </w:r>
          </w:p>
        </w:tc>
      </w:tr>
    </w:tbl>
    <w:p w14:paraId="3C000000">
      <w:pPr>
        <w:widowControl w:val="1"/>
        <w:spacing w:after="0" w:line="240" w:lineRule="auto"/>
        <w:ind w:right="556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2</w:t>
      </w:r>
      <w:r>
        <w:rPr>
          <w:rFonts w:ascii="PT Astra Serif" w:hAnsi="PT Astra Serif"/>
          <w:sz w:val="22"/>
        </w:rPr>
        <w:t>.</w:t>
      </w:r>
      <w:r>
        <w:rPr>
          <w:rFonts w:ascii="PT Astra Serif" w:hAnsi="PT Astra Serif"/>
          <w:sz w:val="22"/>
        </w:rPr>
        <w:t xml:space="preserve"> Информация о </w:t>
      </w:r>
      <w:r>
        <w:rPr>
          <w:rFonts w:ascii="PT Astra Serif" w:hAnsi="PT Astra Serif"/>
          <w:sz w:val="22"/>
        </w:rPr>
        <w:t>ценовых предложениях</w:t>
      </w:r>
      <w:r>
        <w:rPr>
          <w:rFonts w:ascii="PT Astra Serif" w:hAnsi="PT Astra Serif"/>
          <w:sz w:val="22"/>
        </w:rPr>
        <w:t xml:space="preserve"> участников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7"/>
        <w:gridCol w:w="2111"/>
        <w:gridCol w:w="2230"/>
        <w:gridCol w:w="3049"/>
      </w:tblGrid>
      <w:tr>
        <w:trPr>
          <w:trHeight w:hRule="atLeast" w:val="1"/>
        </w:trPr>
        <w:tc>
          <w:tcPr>
            <w:tcW w:type="dxa" w:w="18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 xml:space="preserve">Рег. </w:t>
            </w:r>
            <w:r>
              <w:rPr>
                <w:rFonts w:ascii="PT Astra Serif" w:hAnsi="PT Astra Serif"/>
                <w:b w:val="1"/>
                <w:sz w:val="22"/>
              </w:rPr>
              <w:t>№</w:t>
            </w:r>
            <w:r>
              <w:rPr>
                <w:rFonts w:ascii="PT Astra Serif" w:hAnsi="PT Astra Serif"/>
                <w:b w:val="1"/>
                <w:sz w:val="22"/>
              </w:rPr>
              <w:t xml:space="preserve"> заявки на ЭТП</w:t>
            </w:r>
          </w:p>
        </w:tc>
        <w:tc>
          <w:tcPr>
            <w:tcW w:type="dxa" w:w="2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Участник закупки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 </w:t>
            </w: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Ценовое предложение</w:t>
            </w:r>
            <w:r>
              <w:rPr>
                <w:rFonts w:ascii="PT Astra Serif" w:hAnsi="PT Astra Serif"/>
                <w:b w:val="1"/>
                <w:sz w:val="22"/>
              </w:rPr>
              <w:t xml:space="preserve"> сделанное участником закупки</w:t>
            </w:r>
          </w:p>
        </w:tc>
        <w:tc>
          <w:tcPr>
            <w:tcW w:type="dxa" w:w="30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Дата и время поступления</w:t>
            </w:r>
            <w:r>
              <w:rPr>
                <w:rFonts w:ascii="PT Astra Serif" w:hAnsi="PT Astra Serif"/>
                <w:b w:val="1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ценового предложения</w:t>
            </w:r>
            <w:r>
              <w:rPr>
                <w:rFonts w:ascii="PT Astra Serif" w:hAnsi="PT Astra Serif"/>
                <w:b w:val="1"/>
                <w:sz w:val="22"/>
              </w:rPr>
              <w:t xml:space="preserve">, </w:t>
            </w:r>
            <w:r>
              <w:rPr>
                <w:rFonts w:ascii="PT Astra Serif" w:hAnsi="PT Astra Serif"/>
                <w:b w:val="1"/>
                <w:sz w:val="22"/>
              </w:rPr>
              <w:t>сделанного участником закупки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8"/>
        <w:gridCol w:w="2109"/>
        <w:gridCol w:w="2230"/>
        <w:gridCol w:w="3050"/>
      </w:tblGrid>
      <w:tr>
        <w:trPr>
          <w:trHeight w:hRule="atLeast" w:val="1"/>
        </w:trPr>
        <w:tc>
          <w:tcPr>
            <w:tcW w:type="dxa" w:w="18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32616174140-1-1</w:t>
            </w:r>
          </w:p>
          <w:p w14:paraId="4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type="dxa" w:w="21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ООО "АВТОТЕМА"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ИНН 3906311160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КПП: 390601001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ОГРН: 1133926045692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Юридический Адрес: 236039, Калининградская обл, Калининград г, Портовая ул, 20В</w:t>
            </w: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Цена заявки: 556 960,00  (Пятьсот пятьдесят шесть тысяч девятьсот шестьдесят) рублей 00 копеек, </w:t>
            </w:r>
            <w:r>
              <w:rPr>
                <w:rFonts w:ascii="PT Astra Serif" w:hAnsi="PT Astra Serif"/>
                <w:b w:val="1"/>
                <w:i w:val="1"/>
                <w:sz w:val="22"/>
                <w:u w:val="single"/>
              </w:rPr>
              <w:t>без учета НДС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 </w:t>
            </w:r>
          </w:p>
        </w:tc>
        <w:tc>
          <w:tcPr>
            <w:tcW w:type="dxa" w:w="30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«06» июля 2026 года 12:50 </w:t>
            </w:r>
          </w:p>
          <w:p w14:paraId="46000000">
            <w:pPr>
              <w:widowControl w:val="1"/>
              <w:spacing w:after="0" w:line="240" w:lineRule="auto"/>
              <w:ind/>
              <w:jc w:val="both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 (время московское) </w:t>
            </w:r>
          </w:p>
        </w:tc>
      </w:tr>
    </w:tbl>
    <w:p w14:paraId="47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В связи с тем, что по результатам рассмотрения ценовых заявок закупочной комиссией принято решение об отклонении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b w:val="1"/>
          <w:i w:val="1"/>
          <w:sz w:val="22"/>
        </w:rPr>
        <w:t>заявки единственного участника закупки</w:t>
      </w:r>
      <w:r>
        <w:rPr>
          <w:rFonts w:ascii="PT Astra Serif" w:hAnsi="PT Astra Serif"/>
          <w:sz w:val="22"/>
        </w:rPr>
        <w:t xml:space="preserve"> в соответствии с пунктом а) части 1.2 статьи 6.4 ЕОСЗ закупка признана несостоявшейся. Участник в Сводной таблице стоимости, размещенной на ЭТП указал срок предоставления услуги  366 календарных дней, в ТП 180 календарных дней, согласно требованиям ТЗ Заказчика. </w:t>
      </w:r>
      <w:r>
        <w:rPr>
          <w:rFonts w:ascii="PT Astra Serif" w:hAnsi="PT Astra Serif"/>
          <w:sz w:val="22"/>
        </w:rPr>
        <w:t xml:space="preserve">При выявлении разночтений согласно пункта 5.8 второй части закупочной документации раздела к рассмотрению принимаются сведения, указанные на ЭТП. </w:t>
      </w:r>
      <w:r>
        <w:rPr>
          <w:rFonts w:ascii="PT Astra Serif" w:hAnsi="PT Astra Serif"/>
          <w:sz w:val="22"/>
        </w:rPr>
        <w:t>Условия заявки на участие в запросе котировок,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</w:r>
    </w:p>
    <w:p w14:paraId="48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Результаты голосования членов закупочной комиссии: </w:t>
      </w:r>
    </w:p>
    <w:p w14:paraId="49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«за» – 7</w:t>
      </w:r>
      <w:r>
        <w:rPr>
          <w:rFonts w:ascii="PT Astra Serif" w:hAnsi="PT Astra Serif"/>
          <w:sz w:val="22"/>
        </w:rPr>
        <w:t xml:space="preserve"> голосов</w:t>
      </w:r>
      <w:r>
        <w:rPr>
          <w:rFonts w:ascii="PT Astra Serif" w:hAnsi="PT Astra Serif"/>
          <w:sz w:val="22"/>
        </w:rPr>
        <w:t xml:space="preserve">; </w:t>
      </w:r>
    </w:p>
    <w:p w14:paraId="4A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«против» – </w:t>
      </w:r>
      <w:r>
        <w:rPr>
          <w:rFonts w:ascii="PT Astra Serif" w:hAnsi="PT Astra Serif"/>
          <w:sz w:val="22"/>
          <w:u w:val="single"/>
        </w:rPr>
        <w:t>0</w:t>
      </w:r>
      <w:r>
        <w:rPr>
          <w:rFonts w:ascii="PT Astra Serif" w:hAnsi="PT Astra Serif"/>
          <w:sz w:val="22"/>
        </w:rPr>
        <w:t xml:space="preserve"> голосов</w:t>
      </w:r>
      <w:r>
        <w:rPr>
          <w:rFonts w:ascii="PT Astra Serif" w:hAnsi="PT Astra Serif"/>
          <w:sz w:val="22"/>
        </w:rPr>
        <w:t xml:space="preserve">; </w:t>
      </w:r>
    </w:p>
    <w:p w14:paraId="4B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«воздержался» – </w:t>
      </w:r>
      <w:r>
        <w:rPr>
          <w:rFonts w:ascii="PT Astra Serif" w:hAnsi="PT Astra Serif"/>
          <w:sz w:val="22"/>
          <w:u w:val="single"/>
        </w:rPr>
        <w:t>0</w:t>
      </w:r>
      <w:r>
        <w:rPr>
          <w:rFonts w:ascii="PT Astra Serif" w:hAnsi="PT Astra Serif"/>
          <w:sz w:val="22"/>
        </w:rPr>
        <w:t xml:space="preserve"> голосов</w:t>
      </w:r>
      <w:r>
        <w:rPr>
          <w:rFonts w:ascii="PT Astra Serif" w:hAnsi="PT Astra Serif"/>
          <w:sz w:val="22"/>
        </w:rPr>
        <w:t xml:space="preserve">. </w:t>
      </w:r>
    </w:p>
    <w:p w14:paraId="4C000000">
      <w:pPr>
        <w:keepNext w:val="1"/>
        <w:keepLines w:val="1"/>
        <w:widowControl w:val="1"/>
        <w:spacing w:after="0" w:line="240" w:lineRule="auto"/>
        <w:ind/>
        <w:jc w:val="left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Закупочная комиссия:</w:t>
      </w:r>
    </w:p>
    <w:p w14:paraId="4D000000">
      <w:pPr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4E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подтверждает объективность принимаемых решений;</w:t>
      </w:r>
    </w:p>
    <w:p w14:paraId="4F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заявляет об отсутствии личной заинтересованности в исходе закупки;</w:t>
      </w:r>
    </w:p>
    <w:p w14:paraId="50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принимает на себя обязательства:</w:t>
      </w:r>
    </w:p>
    <w:p w14:paraId="51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r>
        <w:rPr>
          <w:rFonts w:ascii="PT Astra Serif" w:hAnsi="PT Astra Serif"/>
          <w:sz w:val="22"/>
        </w:rPr>
        <w:t>Госкорпорации</w:t>
      </w:r>
      <w:r>
        <w:rPr>
          <w:rFonts w:ascii="PT Astra Serif" w:hAnsi="PT Astra Serif"/>
          <w:sz w:val="22"/>
        </w:rPr>
        <w:t xml:space="preserve"> «</w:t>
      </w:r>
      <w:r>
        <w:rPr>
          <w:rFonts w:ascii="PT Astra Serif" w:hAnsi="PT Astra Serif"/>
          <w:sz w:val="22"/>
        </w:rPr>
        <w:t>Росатом</w:t>
      </w:r>
      <w:r>
        <w:rPr>
          <w:rFonts w:ascii="PT Astra Serif" w:hAnsi="PT Astra Serif"/>
          <w:sz w:val="22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52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53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54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</w:p>
    <w:p w14:paraId="55000000">
      <w:pPr>
        <w:widowControl w:val="1"/>
        <w:ind w:left="261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Согл</w:t>
      </w:r>
      <w:r>
        <w:rPr>
          <w:rFonts w:ascii="PT Astra Serif" w:hAnsi="PT Astra Serif"/>
          <w:b w:val="1"/>
          <w:sz w:val="22"/>
        </w:rPr>
        <w:t xml:space="preserve">асовано членами закупочной комиссии в Единой системе электронного </w:t>
      </w:r>
      <w:r>
        <w:rPr>
          <w:rFonts w:ascii="PT Astra Serif" w:hAnsi="PT Astra Serif"/>
          <w:b w:val="1"/>
          <w:spacing w:val="-2"/>
          <w:sz w:val="22"/>
        </w:rPr>
        <w:t>документ</w:t>
      </w:r>
      <w:r>
        <w:rPr>
          <w:rFonts w:ascii="PT Astra Serif" w:hAnsi="PT Astra Serif"/>
          <w:b w:val="1"/>
          <w:spacing w:val="-2"/>
          <w:sz w:val="22"/>
        </w:rPr>
        <w:t>ооборота</w:t>
      </w:r>
    </w:p>
    <w:tbl>
      <w:tblPr>
        <w:tblStyle w:val="Style_3"/>
        <w:tblW w:type="auto" w:w="0"/>
        <w:jc w:val="left"/>
        <w:tblInd w:type="dxa" w:w="282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3545"/>
        <w:gridCol w:w="4382"/>
        <w:gridCol w:w="1743"/>
      </w:tblGrid>
      <w:tr>
        <w:trPr>
          <w:trHeight w:hRule="atLeast" w:val="295"/>
        </w:trPr>
        <w:tc>
          <w:tcPr>
            <w:tcW w:type="dxa" w:w="354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6000000">
            <w:pPr>
              <w:widowControl w:val="1"/>
              <w:spacing w:after="0" w:before="10" w:line="266" w:lineRule="exact"/>
              <w:ind w:left="20" w:right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5"/>
                <w:sz w:val="22"/>
              </w:rPr>
              <w:t>ФИО</w:t>
            </w:r>
          </w:p>
        </w:tc>
        <w:tc>
          <w:tcPr>
            <w:tcW w:type="dxa" w:w="438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7000000">
            <w:pPr>
              <w:widowControl w:val="1"/>
              <w:spacing w:after="0" w:before="10" w:line="266" w:lineRule="exact"/>
              <w:ind w:left="15" w:right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2"/>
                <w:sz w:val="22"/>
              </w:rPr>
              <w:t>Должность</w:t>
            </w:r>
          </w:p>
        </w:tc>
        <w:tc>
          <w:tcPr>
            <w:tcW w:type="dxa" w:w="174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8000000">
            <w:pPr>
              <w:widowControl w:val="1"/>
              <w:spacing w:after="0" w:before="10" w:line="266" w:lineRule="exact"/>
              <w:ind w:left="399" w:right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2"/>
                <w:sz w:val="22"/>
              </w:rPr>
              <w:t>Подпись</w:t>
            </w:r>
          </w:p>
        </w:tc>
      </w:tr>
      <w:tr>
        <w:trPr>
          <w:trHeight w:hRule="atLeast" w:val="285"/>
        </w:trPr>
        <w:tc>
          <w:tcPr>
            <w:tcW w:type="dxa" w:w="9670"/>
            <w:gridSpan w:val="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9000000">
            <w:pPr>
              <w:widowControl w:val="1"/>
              <w:spacing w:line="266" w:lineRule="exact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Секретарь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комиссии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(с</w:t>
            </w:r>
            <w:r>
              <w:rPr>
                <w:rFonts w:ascii="PT Astra Serif" w:hAnsi="PT Astra Serif"/>
                <w:b w:val="1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правом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голоса)</w:t>
            </w:r>
          </w:p>
        </w:tc>
      </w:tr>
      <w:tr>
        <w:trPr>
          <w:trHeight w:hRule="atLeast" w:val="561"/>
        </w:trPr>
        <w:tc>
          <w:tcPr>
            <w:tcW w:type="dxa" w:w="354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A000000">
            <w:pPr>
              <w:widowControl w:val="1"/>
              <w:spacing w:after="0" w:before="138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Ганина</w:t>
            </w:r>
            <w:r>
              <w:rPr>
                <w:rFonts w:ascii="PT Astra Serif" w:hAnsi="PT Astra Serif"/>
                <w:spacing w:val="-3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Светлана</w:t>
            </w:r>
            <w:r>
              <w:rPr>
                <w:rFonts w:ascii="PT Astra Serif" w:hAnsi="PT Astra Serif"/>
                <w:spacing w:val="-1"/>
                <w:sz w:val="22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2"/>
              </w:rPr>
              <w:t>Ярославовна</w:t>
            </w:r>
          </w:p>
        </w:tc>
        <w:tc>
          <w:tcPr>
            <w:tcW w:type="dxa" w:w="438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B000000">
            <w:pPr>
              <w:widowControl w:val="1"/>
              <w:tabs>
                <w:tab w:leader="none" w:pos="720" w:val="clear"/>
                <w:tab w:leader="none" w:pos="1873" w:val="left"/>
                <w:tab w:leader="none" w:pos="3083" w:val="left"/>
              </w:tabs>
              <w:spacing w:line="270" w:lineRule="atLeast"/>
              <w:ind w:left="5" w:right="-15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pacing w:val="-2"/>
                <w:sz w:val="22"/>
              </w:rPr>
              <w:t>Руководитель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2"/>
                <w:sz w:val="22"/>
              </w:rPr>
              <w:t>группы</w:t>
            </w:r>
            <w:r>
              <w:rPr>
                <w:rFonts w:ascii="PT Astra Serif" w:hAnsi="PT Astra Serif"/>
                <w:sz w:val="22"/>
              </w:rPr>
              <w:tab/>
            </w:r>
            <w:r>
              <w:rPr>
                <w:rFonts w:ascii="PT Astra Serif" w:hAnsi="PT Astra Serif"/>
                <w:spacing w:val="-2"/>
                <w:sz w:val="22"/>
              </w:rPr>
              <w:t>организации закупок</w:t>
            </w:r>
          </w:p>
        </w:tc>
        <w:tc>
          <w:tcPr>
            <w:tcW w:type="dxa" w:w="174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C000000">
            <w:pPr>
              <w:widowControl w:val="1"/>
              <w:ind w:left="0" w:right="0"/>
              <w:rPr>
                <w:rFonts w:ascii="PT Astra Serif" w:hAnsi="PT Astra Serif"/>
                <w:sz w:val="22"/>
              </w:rPr>
            </w:pPr>
          </w:p>
        </w:tc>
      </w:tr>
    </w:tbl>
    <w:p w14:paraId="5D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</w:p>
    <w:sectPr>
      <w:footerReference r:id="rId1" w:type="default"/>
      <w:pgSz w:h="16838" w:orient="portrait" w:w="11906"/>
      <w:pgMar w:bottom="1134" w:footer="708" w:gutter="0" w:header="708" w:left="1701" w:right="850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keepLines w:val="1"/>
      <w:widowControl w:val="0"/>
      <w:tabs>
        <w:tab w:leader="none" w:pos="5017" w:val="center"/>
      </w:tabs>
      <w:spacing w:after="0" w:line="240" w:lineRule="auto"/>
      <w:ind/>
      <w:jc w:val="center"/>
      <w:outlineLvl w:val="0"/>
      <w:rPr>
        <w:rFonts w:ascii="PT Astra Serif" w:hAnsi="PT Astra Serif"/>
        <w:b w:val="1"/>
        <w:sz w:val="16"/>
      </w:rPr>
    </w:pPr>
    <w:r>
      <w:rPr>
        <w:rFonts w:ascii="PT Astra Serif" w:hAnsi="PT Astra Serif"/>
        <w:b w:val="1"/>
        <w:sz w:val="16"/>
      </w:rPr>
      <w:t>ПРОТОКОЛ</w:t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t xml:space="preserve"> №  222360/1</w:t>
    </w:r>
  </w:p>
  <w:p w14:paraId="02000000">
    <w:pPr>
      <w:pStyle w:val="Style_1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b w:val="1"/>
        <w:sz w:val="16"/>
      </w:rPr>
      <w:t>заседания закупочной комиссии по подведению итогов закупки на право</w:t>
    </w:r>
  </w:p>
  <w:p w14:paraId="03000000">
    <w:pPr>
      <w:pStyle w:val="Style_2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b w:val="1"/>
        <w:sz w:val="16"/>
      </w:rPr>
      <w:t>заключения договора на</w:t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t>оказание комплекса услуг по организации охраняемой стоянки, мойке и хранения автошин, колесных дисков автотранспортных средств обособленного подразделения ООО «Калининская АЭС-Сервис» на Балтийской АЭС</w:t>
    </w:r>
  </w:p>
  <w:p w14:paraId="04000000">
    <w:pPr>
      <w:pStyle w:val="Style_2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sz w:val="16"/>
      </w:rPr>
      <w:t xml:space="preserve">Страница </w:t>
    </w:r>
    <w:r>
      <w:rPr>
        <w:rFonts w:ascii="PT Astra Serif" w:hAnsi="PT Astra Serif"/>
        <w:b w:val="1"/>
        <w:sz w:val="16"/>
      </w:rPr>
      <w:fldChar w:fldCharType="begin"/>
    </w:r>
    <w:r>
      <w:rPr>
        <w:rFonts w:ascii="PT Astra Serif" w:hAnsi="PT Astra Serif"/>
        <w:b w:val="1"/>
        <w:sz w:val="16"/>
      </w:rPr>
      <w:instrText xml:space="preserve">PAGE </w:instrText>
    </w:r>
    <w:r>
      <w:rPr>
        <w:rFonts w:ascii="PT Astra Serif" w:hAnsi="PT Astra Serif"/>
        <w:b w:val="1"/>
        <w:sz w:val="16"/>
      </w:rPr>
      <w:fldChar w:fldCharType="separate"/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fldChar w:fldCharType="end"/>
    </w:r>
    <w:r>
      <w:rPr>
        <w:rFonts w:ascii="PT Astra Serif" w:hAnsi="PT Astra Serif"/>
        <w:sz w:val="16"/>
      </w:rPr>
      <w:t xml:space="preserve"> из </w:t>
    </w:r>
    <w:r>
      <w:rPr>
        <w:rFonts w:ascii="PT Astra Serif" w:hAnsi="PT Astra Serif"/>
        <w:b w:val="1"/>
        <w:sz w:val="16"/>
      </w:rPr>
      <w:fldChar w:fldCharType="begin"/>
    </w:r>
    <w:r>
      <w:rPr>
        <w:rFonts w:ascii="PT Astra Serif" w:hAnsi="PT Astra Serif"/>
        <w:b w:val="1"/>
        <w:sz w:val="16"/>
      </w:rPr>
      <w:instrText xml:space="preserve">NUMPAGES </w:instrText>
    </w:r>
    <w:r>
      <w:rPr>
        <w:rFonts w:ascii="PT Astra Serif" w:hAnsi="PT Astra Serif"/>
        <w:b w:val="1"/>
        <w:sz w:val="16"/>
      </w:rPr>
      <w:fldChar w:fldCharType="separate"/>
    </w:r>
    <w:r>
      <w:rPr>
        <w:rFonts w:ascii="PT Astra Serif" w:hAnsi="PT Astra Serif"/>
        <w:b w:val="1"/>
        <w:sz w:val="16"/>
      </w:rPr>
      <w:t>3</w:t>
    </w:r>
    <w:r>
      <w:rPr>
        <w:rFonts w:ascii="PT Astra Serif" w:hAnsi="PT Astra Serif"/>
        <w:b w:val="1"/>
        <w:sz w:val="16"/>
      </w:rPr>
      <w:fldChar w:fldCharType="end"/>
    </w:r>
  </w:p>
  <w:p w14:paraId="05000000">
    <w:pPr>
      <w:widowControl w:val="1"/>
      <w:spacing w:after="0" w:line="240" w:lineRule="auto"/>
      <w:ind/>
      <w:jc w:val="center"/>
      <w:rPr>
        <w:rFonts w:ascii="Times New Roman" w:hAnsi="Times New Roman"/>
        <w:b w:val="1"/>
        <w:sz w:val="16"/>
      </w:rPr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1">
    <w:lvl w:ilvl="0">
      <w:start w:val="1"/>
      <w:numFmt w:val="decimal"/>
      <w:pStyle w:val="Style_21"/>
      <w:lvlText w:val="%1."/>
      <w:lvlJc w:val="left"/>
      <w:pPr>
        <w:widowControl w:val="1"/>
        <w:tabs>
          <w:tab w:leader="none" w:pos="709" w:val="left"/>
        </w:tabs>
        <w:ind w:hanging="709" w:left="709"/>
      </w:pPr>
      <w:rPr>
        <w:b w:val="0"/>
        <w:i w:val="0"/>
      </w:rPr>
    </w:lvl>
    <w:lvl w:ilvl="1">
      <w:start w:val="1"/>
      <w:numFmt w:val="decimal"/>
      <w:pStyle w:val="Style_32"/>
      <w:lvlText w:val="%1.%2"/>
      <w:lvlJc w:val="left"/>
      <w:pPr>
        <w:widowControl w:val="1"/>
        <w:tabs>
          <w:tab w:leader="none" w:pos="993" w:val="left"/>
        </w:tabs>
        <w:ind w:hanging="709" w:left="993"/>
      </w:pPr>
      <w:rPr>
        <w:b w:val="0"/>
        <w:i w:val="0"/>
      </w:rPr>
    </w:lvl>
    <w:lvl w:ilvl="2">
      <w:start w:val="1"/>
      <w:numFmt w:val="decimal"/>
      <w:pStyle w:val="Style_15"/>
      <w:lvlText w:val="%1.%2.%3"/>
      <w:lvlJc w:val="left"/>
      <w:pPr>
        <w:widowControl w:val="1"/>
        <w:tabs>
          <w:tab w:leader="none" w:pos="1559" w:val="left"/>
        </w:tabs>
        <w:ind w:hanging="850" w:left="1559"/>
      </w:pPr>
      <w:rPr>
        <w:b w:val="0"/>
        <w:i w:val="0"/>
      </w:rPr>
    </w:lvl>
    <w:lvl w:ilvl="3">
      <w:start w:val="1"/>
      <w:numFmt w:val="upperLetter"/>
      <w:pStyle w:val="Style_31"/>
      <w:lvlText w:val="(%4)"/>
      <w:lvlJc w:val="left"/>
      <w:pPr>
        <w:widowControl w:val="1"/>
        <w:tabs>
          <w:tab w:leader="none" w:pos="2268" w:val="left"/>
        </w:tabs>
        <w:ind w:hanging="709" w:left="2268"/>
      </w:pPr>
      <w:rPr>
        <w:b w:val="0"/>
        <w:i w:val="0"/>
      </w:rPr>
    </w:lvl>
    <w:lvl w:ilvl="4">
      <w:start w:val="1"/>
      <w:numFmt w:val="decimal"/>
      <w:pStyle w:val="Style_20"/>
      <w:lvlText w:val="(%5)"/>
      <w:lvlJc w:val="left"/>
      <w:pPr>
        <w:widowControl w:val="1"/>
        <w:tabs>
          <w:tab w:leader="none" w:pos="2977" w:val="left"/>
        </w:tabs>
        <w:ind w:hanging="709" w:left="2977"/>
      </w:pPr>
      <w:rPr>
        <w:b w:val="0"/>
        <w:i w:val="0"/>
      </w:rPr>
    </w:lvl>
    <w:lvl w:ilvl="5">
      <w:start w:val="1"/>
      <w:numFmt w:val="lowerLetter"/>
      <w:pStyle w:val="Style_33"/>
      <w:lvlText w:val="(%6)"/>
      <w:lvlJc w:val="left"/>
      <w:pPr>
        <w:widowControl w:val="1"/>
        <w:tabs>
          <w:tab w:leader="none" w:pos="3686" w:val="left"/>
        </w:tabs>
        <w:ind w:hanging="709" w:left="3686"/>
      </w:pPr>
      <w:rPr>
        <w:b w:val="0"/>
        <w:i w:val="0"/>
      </w:rPr>
    </w:lvl>
    <w:lvl w:ilvl="6">
      <w:start w:val="1"/>
      <w:numFmt w:val="lowerRoman"/>
      <w:pStyle w:val="Style_9"/>
      <w:lvlText w:val="(%7)"/>
      <w:lvlJc w:val="left"/>
      <w:pPr>
        <w:widowControl w:val="1"/>
        <w:tabs>
          <w:tab w:leader="none" w:pos="4394" w:val="left"/>
        </w:tabs>
        <w:ind w:hanging="708" w:left="4394"/>
      </w:pPr>
      <w:rPr>
        <w:b w:val="0"/>
        <w:i w:val="0"/>
      </w:rPr>
    </w:lvl>
    <w:lvl w:ilvl="7">
      <w:start w:val="1"/>
      <w:numFmt w:val="decimal"/>
      <w:suff w:val="nothing"/>
      <w:lvlText w:val=""/>
      <w:lvlJc w:val="left"/>
      <w:pPr>
        <w:widowControl w:val="1"/>
        <w:ind w:firstLine="0" w:left="0"/>
      </w:pPr>
    </w:lvl>
    <w:lvl w:ilvl="8">
      <w:start w:val="1"/>
      <w:numFmt w:val="decimal"/>
      <w:suff w:val="nothing"/>
      <w:lvlText w:val=""/>
      <w:lvlJc w:val="left"/>
      <w:pPr>
        <w:widowControl w:val="1"/>
        <w:ind w:firstLine="0" w:left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header"/>
    <w:basedOn w:val="Style_4"/>
    <w:link w:val="Style_5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5_ch" w:type="character">
    <w:name w:val="header"/>
    <w:basedOn w:val="Style_4_ch"/>
    <w:link w:val="Style_5"/>
  </w:style>
  <w:style w:styleId="Style_6" w:type="paragraph">
    <w:name w:val="toc 2"/>
    <w:next w:val="Style_4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Body Text"/>
    <w:basedOn w:val="Style_4"/>
    <w:link w:val="Style_7_ch"/>
    <w:pPr>
      <w:widowControl w:val="1"/>
      <w:spacing w:after="120"/>
      <w:ind/>
    </w:pPr>
  </w:style>
  <w:style w:styleId="Style_7_ch" w:type="character">
    <w:name w:val="Body Text"/>
    <w:basedOn w:val="Style_4_ch"/>
    <w:link w:val="Style_7"/>
  </w:style>
  <w:style w:styleId="Style_8" w:type="paragraph">
    <w:name w:val="toc 4"/>
    <w:next w:val="Style_4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heading 7"/>
    <w:basedOn w:val="Style_7"/>
    <w:next w:val="Style_4"/>
    <w:link w:val="Style_9_ch"/>
    <w:uiPriority w:val="9"/>
    <w:qFormat/>
    <w:pPr>
      <w:keepNext w:val="1"/>
      <w:widowControl w:val="1"/>
      <w:numPr>
        <w:ilvl w:val="6"/>
        <w:numId w:val="2"/>
      </w:numPr>
      <w:tabs>
        <w:tab w:leader="none" w:pos="8789" w:val="right"/>
      </w:tabs>
      <w:spacing w:after="100" w:before="200" w:line="240" w:lineRule="auto"/>
      <w:ind w:hanging="709" w:left="4395"/>
      <w:outlineLvl w:val="6"/>
    </w:pPr>
    <w:rPr>
      <w:rFonts w:ascii="Arial" w:hAnsi="Arial"/>
      <w:b w:val="1"/>
      <w:sz w:val="20"/>
    </w:rPr>
  </w:style>
  <w:style w:styleId="Style_9_ch" w:type="character">
    <w:name w:val="heading 7"/>
    <w:basedOn w:val="Style_7_ch"/>
    <w:link w:val="Style_9"/>
    <w:rPr>
      <w:rFonts w:ascii="Arial" w:hAnsi="Arial"/>
      <w:b w:val="1"/>
      <w:sz w:val="20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6"/>
    <w:next w:val="Style_4"/>
    <w:link w:val="Style_11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" w:type="paragraph">
    <w:name w:val="ConsPlusNormal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ConsPlusNormal"/>
    <w:link w:val="Style_1"/>
    <w:rPr>
      <w:rFonts w:ascii="Times New Roman" w:hAnsi="Times New Roman"/>
      <w:sz w:val="24"/>
    </w:rPr>
  </w:style>
  <w:style w:styleId="Style_13" w:type="paragraph">
    <w:name w:val="Body Text 3"/>
    <w:basedOn w:val="Style_4"/>
    <w:link w:val="Style_13_ch"/>
    <w:pPr>
      <w:widowControl w:val="1"/>
      <w:spacing w:after="120"/>
      <w:ind/>
    </w:pPr>
    <w:rPr>
      <w:sz w:val="16"/>
    </w:rPr>
  </w:style>
  <w:style w:styleId="Style_13_ch" w:type="character">
    <w:name w:val="Body Text 3"/>
    <w:basedOn w:val="Style_4_ch"/>
    <w:link w:val="Style_13"/>
    <w:rPr>
      <w:sz w:val="16"/>
    </w:rPr>
  </w:style>
  <w:style w:styleId="Style_14" w:type="paragraph">
    <w:name w:val="End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basedOn w:val="Style_7"/>
    <w:next w:val="Style_13"/>
    <w:link w:val="Style_15_ch"/>
    <w:uiPriority w:val="9"/>
    <w:qFormat/>
    <w:pPr>
      <w:keepNext w:val="1"/>
      <w:widowControl w:val="1"/>
      <w:numPr>
        <w:ilvl w:val="2"/>
        <w:numId w:val="2"/>
      </w:numPr>
      <w:tabs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2"/>
    </w:pPr>
    <w:rPr>
      <w:rFonts w:ascii="Arial" w:hAnsi="Arial"/>
      <w:b w:val="1"/>
      <w:sz w:val="20"/>
    </w:rPr>
  </w:style>
  <w:style w:styleId="Style_15_ch" w:type="character">
    <w:name w:val="heading 3"/>
    <w:basedOn w:val="Style_7_ch"/>
    <w:link w:val="Style_15"/>
    <w:rPr>
      <w:rFonts w:ascii="Arial" w:hAnsi="Arial"/>
      <w:b w:val="1"/>
      <w:sz w:val="20"/>
    </w:rPr>
  </w:style>
  <w:style w:styleId="Style_2" w:type="paragraph">
    <w:name w:val="footer"/>
    <w:basedOn w:val="Style_4"/>
    <w:link w:val="Style_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4_ch"/>
    <w:link w:val="Style_2"/>
  </w:style>
  <w:style w:styleId="Style_16" w:type="paragraph">
    <w:name w:val="List Paragraph"/>
    <w:basedOn w:val="Style_4"/>
    <w:link w:val="Style_16_ch"/>
    <w:pPr>
      <w:widowControl w:val="1"/>
      <w:ind w:left="720"/>
      <w:contextualSpacing w:val="1"/>
    </w:pPr>
  </w:style>
  <w:style w:styleId="Style_16_ch" w:type="character">
    <w:name w:val="List Paragraph"/>
    <w:basedOn w:val="Style_4_ch"/>
    <w:link w:val="Style_16"/>
  </w:style>
  <w:style w:styleId="Style_17" w:type="paragraph">
    <w:name w:val="toc 3"/>
    <w:next w:val="Style_4"/>
    <w:link w:val="Style_17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Body Text 2"/>
    <w:basedOn w:val="Style_4"/>
    <w:link w:val="Style_18_ch"/>
    <w:pPr>
      <w:widowControl w:val="1"/>
      <w:spacing w:after="120" w:line="480" w:lineRule="auto"/>
      <w:ind/>
    </w:pPr>
  </w:style>
  <w:style w:styleId="Style_18_ch" w:type="character">
    <w:name w:val="Body Text 2"/>
    <w:basedOn w:val="Style_4_ch"/>
    <w:link w:val="Style_18"/>
  </w:style>
  <w:style w:styleId="Style_19" w:type="paragraph">
    <w:name w:val="Default"/>
    <w:link w:val="Style_19_ch"/>
    <w:pPr>
      <w:widowControl w:val="1"/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19_ch" w:type="character">
    <w:name w:val="Default"/>
    <w:link w:val="Style_19"/>
    <w:rPr>
      <w:rFonts w:ascii="Times New Roman" w:hAnsi="Times New Roman"/>
      <w:color w:val="000000"/>
      <w:sz w:val="24"/>
    </w:rPr>
  </w:style>
  <w:style w:styleId="Style_20" w:type="paragraph">
    <w:name w:val="heading 5"/>
    <w:basedOn w:val="Style_7"/>
    <w:next w:val="Style_4"/>
    <w:link w:val="Style_20_ch"/>
    <w:uiPriority w:val="9"/>
    <w:qFormat/>
    <w:pPr>
      <w:keepNext w:val="1"/>
      <w:widowControl w:val="1"/>
      <w:numPr>
        <w:ilvl w:val="4"/>
        <w:numId w:val="2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4"/>
    </w:pPr>
    <w:rPr>
      <w:rFonts w:ascii="Arial" w:hAnsi="Arial"/>
      <w:b w:val="1"/>
      <w:sz w:val="20"/>
    </w:rPr>
  </w:style>
  <w:style w:styleId="Style_20_ch" w:type="character">
    <w:name w:val="heading 5"/>
    <w:basedOn w:val="Style_7_ch"/>
    <w:link w:val="Style_20"/>
    <w:rPr>
      <w:rFonts w:ascii="Arial" w:hAnsi="Arial"/>
      <w:b w:val="1"/>
      <w:sz w:val="20"/>
    </w:rPr>
  </w:style>
  <w:style w:styleId="Style_21" w:type="paragraph">
    <w:name w:val="heading 1"/>
    <w:basedOn w:val="Style_7"/>
    <w:next w:val="Style_4"/>
    <w:link w:val="Style_21_ch"/>
    <w:uiPriority w:val="9"/>
    <w:qFormat/>
    <w:pPr>
      <w:keepNext w:val="1"/>
      <w:widowControl w:val="1"/>
      <w:numPr>
        <w:numId w:val="2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0"/>
    </w:pPr>
    <w:rPr>
      <w:rFonts w:ascii="Arial" w:hAnsi="Arial"/>
      <w:b w:val="1"/>
      <w:caps w:val="1"/>
      <w:sz w:val="20"/>
    </w:rPr>
  </w:style>
  <w:style w:styleId="Style_21_ch" w:type="character">
    <w:name w:val="heading 1"/>
    <w:basedOn w:val="Style_7_ch"/>
    <w:link w:val="Style_21"/>
    <w:rPr>
      <w:rFonts w:ascii="Arial" w:hAnsi="Arial"/>
      <w:b w:val="1"/>
      <w:caps w:val="1"/>
      <w:sz w:val="20"/>
    </w:rPr>
  </w:style>
  <w:style w:styleId="Style_22" w:type="paragraph">
    <w:name w:val="Hyperlink"/>
    <w:basedOn w:val="Style_10"/>
    <w:link w:val="Style_22_ch"/>
    <w:rPr>
      <w:color w:themeColor="hyperlink" w:val="0563C1"/>
      <w:u w:val="single"/>
    </w:rPr>
  </w:style>
  <w:style w:styleId="Style_22_ch" w:type="character">
    <w:name w:val="Hyperlink"/>
    <w:basedOn w:val="Style_10_ch"/>
    <w:link w:val="Style_22"/>
    <w:rPr>
      <w:color w:themeColor="hyperlink" w:val="0563C1"/>
      <w:u w:val="single"/>
    </w:rPr>
  </w:style>
  <w:style w:styleId="Style_23" w:type="paragraph">
    <w:name w:val="Footnote"/>
    <w:link w:val="Style_2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4"/>
    <w:link w:val="Style_26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4"/>
    <w:link w:val="Style_2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toc 5"/>
    <w:next w:val="Style_4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4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4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basedOn w:val="Style_7"/>
    <w:next w:val="Style_4"/>
    <w:link w:val="Style_31_ch"/>
    <w:uiPriority w:val="9"/>
    <w:qFormat/>
    <w:pPr>
      <w:keepNext w:val="1"/>
      <w:widowControl w:val="1"/>
      <w:numPr>
        <w:ilvl w:val="3"/>
        <w:numId w:val="2"/>
      </w:numPr>
      <w:tabs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3"/>
    </w:pPr>
    <w:rPr>
      <w:rFonts w:ascii="Arial" w:hAnsi="Arial"/>
      <w:b w:val="1"/>
      <w:sz w:val="20"/>
    </w:rPr>
  </w:style>
  <w:style w:styleId="Style_31_ch" w:type="character">
    <w:name w:val="heading 4"/>
    <w:basedOn w:val="Style_7_ch"/>
    <w:link w:val="Style_31"/>
    <w:rPr>
      <w:rFonts w:ascii="Arial" w:hAnsi="Arial"/>
      <w:b w:val="1"/>
      <w:sz w:val="20"/>
    </w:rPr>
  </w:style>
  <w:style w:styleId="Style_32" w:type="paragraph">
    <w:name w:val="heading 2"/>
    <w:basedOn w:val="Style_7"/>
    <w:next w:val="Style_18"/>
    <w:link w:val="Style_32_ch"/>
    <w:uiPriority w:val="9"/>
    <w:qFormat/>
    <w:pPr>
      <w:keepNext w:val="1"/>
      <w:widowControl w:val="1"/>
      <w:numPr>
        <w:ilvl w:val="1"/>
        <w:numId w:val="2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1"/>
    </w:pPr>
    <w:rPr>
      <w:rFonts w:ascii="Arial" w:hAnsi="Arial"/>
      <w:b w:val="1"/>
      <w:sz w:val="20"/>
    </w:rPr>
  </w:style>
  <w:style w:styleId="Style_32_ch" w:type="character">
    <w:name w:val="heading 2"/>
    <w:basedOn w:val="Style_7_ch"/>
    <w:link w:val="Style_32"/>
    <w:rPr>
      <w:rFonts w:ascii="Arial" w:hAnsi="Arial"/>
      <w:b w:val="1"/>
      <w:sz w:val="20"/>
    </w:rPr>
  </w:style>
  <w:style w:styleId="Style_33" w:type="paragraph">
    <w:name w:val="heading 6"/>
    <w:basedOn w:val="Style_7"/>
    <w:next w:val="Style_4"/>
    <w:link w:val="Style_33_ch"/>
    <w:uiPriority w:val="9"/>
    <w:qFormat/>
    <w:pPr>
      <w:keepNext w:val="1"/>
      <w:widowControl w:val="1"/>
      <w:numPr>
        <w:ilvl w:val="5"/>
        <w:numId w:val="2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5"/>
    </w:pPr>
    <w:rPr>
      <w:rFonts w:ascii="Arial" w:hAnsi="Arial"/>
      <w:b w:val="1"/>
      <w:sz w:val="20"/>
    </w:rPr>
  </w:style>
  <w:style w:styleId="Style_33_ch" w:type="character">
    <w:name w:val="heading 6"/>
    <w:basedOn w:val="Style_7_ch"/>
    <w:link w:val="Style_33"/>
    <w:rPr>
      <w:rFonts w:ascii="Arial" w:hAnsi="Arial"/>
      <w:b w:val="1"/>
      <w:sz w:val="20"/>
    </w:rPr>
  </w:style>
  <w:style w:styleId="Style_34" w:type="table">
    <w:name w:val="Table Grid"/>
    <w:basedOn w:val="Style_3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footer1.xml" Type="http://schemas.openxmlformats.org/officeDocument/2006/relationships/footer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2025-08-19T10:18:00Z</dcterms:created>
  <dcterms:modified xsi:type="dcterms:W3CDTF">2026-07-14T06:53:43Z</dcterms:modified>
</cp:coreProperties>
</file>