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ПРОТОКОЛ № 4318211-2</w:t>
      </w:r>
    </w:p>
    <w:p>
      <w:pPr>
        <w:pStyle w:val="Normal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заседания закупочной комиссии по рассмотрению вторых частей заявок на участие в закупке на право заключения договора на поставку сухофруктов, орехов, фруктов и овощей свежих</w:t>
      </w:r>
    </w:p>
    <w:p>
      <w:pPr>
        <w:pStyle w:val="Normal"/>
        <w:spacing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 </w:t>
      </w:r>
    </w:p>
    <w:tbl>
      <w:tblPr>
        <w:tblStyle w:val="Style_3"/>
        <w:tblW w:w="9689" w:type="dxa"/>
        <w:jc w:val="left"/>
        <w:tblInd w:w="0" w:type="dxa"/>
        <w:tblLayout w:type="fixed"/>
        <w:tblCellMar>
          <w:top w:w="0" w:type="dxa"/>
          <w:left w:w="113" w:type="dxa"/>
          <w:bottom w:w="0" w:type="dxa"/>
          <w:right w:w="113" w:type="dxa"/>
        </w:tblCellMar>
      </w:tblPr>
      <w:tblGrid>
        <w:gridCol w:w="3868"/>
        <w:gridCol w:w="5820"/>
      </w:tblGrid>
      <w:tr>
        <w:trPr/>
        <w:tc>
          <w:tcPr>
            <w:tcW w:w="386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г. Заречный</w:t>
            </w:r>
          </w:p>
        </w:tc>
        <w:tc>
          <w:tcPr>
            <w:tcW w:w="582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left="0" w:right="0" w:hanging="0"/>
              <w:jc w:val="righ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дата подписания протокола «26» июня 2024 г.</w:t>
            </w:r>
          </w:p>
        </w:tc>
      </w:tr>
    </w:tbl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</w:p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Информация о закупке:</w:t>
      </w:r>
    </w:p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Заказчик: Общество с ограниченной ответственностью "БЕЛОЯРСКАЯ АЭС - АВТО".</w:t>
      </w:r>
    </w:p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Организатор закупки: ООО "Белоярская АЭС-Авто".</w:t>
      </w:r>
    </w:p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before="0"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Предмет закупки: право заключения договора на поставку сухофруктов, орехов, фруктов и овощей свежих.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Срок поставки товара: 23.01.2025 </w:t>
      </w:r>
    </w:p>
    <w:p>
      <w:pPr>
        <w:pStyle w:val="Normal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Начальная (максимальная) цена договора: 8 795 571 (Восемь миллионов семьсот девяносто пять тысяч пятьсот семьдесят один) рубль 41 копейка. </w:t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Style_4"/>
        <w:tblW w:w="10309" w:type="dxa"/>
        <w:jc w:val="left"/>
        <w:tblInd w:w="7" w:type="dxa"/>
        <w:tblLayout w:type="fixed"/>
        <w:tblCellMar>
          <w:top w:w="0" w:type="dxa"/>
          <w:left w:w="2" w:type="dxa"/>
          <w:bottom w:w="0" w:type="dxa"/>
          <w:right w:w="0" w:type="dxa"/>
        </w:tblCellMar>
      </w:tblPr>
      <w:tblGrid>
        <w:gridCol w:w="610"/>
        <w:gridCol w:w="7353"/>
        <w:gridCol w:w="2346"/>
      </w:tblGrid>
      <w:tr>
        <w:trPr/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 xml:space="preserve">п/п </w:t>
            </w:r>
          </w:p>
        </w:tc>
        <w:tc>
          <w:tcPr>
            <w:tcW w:w="73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Наименование продукции</w:t>
            </w:r>
          </w:p>
        </w:tc>
        <w:tc>
          <w:tcPr>
            <w:tcW w:w="2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Апельсины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129,95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Виноград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101,48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Груши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180,00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Лимоны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142,65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Мандарины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142,65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Яблоки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111,18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Грецкий орех очищенный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728,24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8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Киви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164,93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9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Бананы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87,85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10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Ананас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180,25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Арбузы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79,00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12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Дыня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39,00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13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Черешня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76,45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Абрикосы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171,83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15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Гранат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74,42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Картофель свежий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19,31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Капуста белокочанная свежая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18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Морковь столовая свежая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34,42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Свекла столовая свежая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29,28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20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 репчатый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24,00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21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 репчатый красный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21,08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Чеснок свежий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23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Капуста пекинская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71,90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24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Огурцы тепличные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75,00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25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Томаты тепличные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116,22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26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Перец сладкий свежий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73,18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27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Капуста краснокачанная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37,10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28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 зеленый свежий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140,00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29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Зелень свежая- укроп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171,50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Зелень свежая-петрушка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166,50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31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Баклажаны свежие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32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Редис свежий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33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Редька свежая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35,84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34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Кабачки свежие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60,01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35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Помидоры Черри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229,20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Салат листовой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91,96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37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Тыква свежая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22,72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38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Репа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11,40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39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Сельдерей стебель свежий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152,33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40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Имбирь- корень свежий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165,20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41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Кинза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296,73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42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Розмарин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348,90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43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Базилик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331,82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44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Лук-порей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365,13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45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Салат «Айсберг»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156,51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46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Салат руккола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559,68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47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Физалис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175,66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48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Клубника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301,79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49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Ядра кешью фасованные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86,23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50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Смесь орехово-фруктовая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36,47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51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Ядра миндаля фасованные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46,57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52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Чернослив б/к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234,86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53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Курага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227,71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54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Изюм б/к коричневый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352,67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55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Изюм б/к золотистый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303,40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56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Компотная смесь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114,92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57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Шиповник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193,75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58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Курага фасованная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51,20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59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Финики фасованные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41,35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60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Инжир сушеный фасованный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36,25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61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Шампиньоны белые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251,55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62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Авокадо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383,00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63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Мята свежая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382,45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64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Манго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108,00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65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Малина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200,00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66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Голубика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719,95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67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Ежевика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723,60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68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Смородина красная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259,91</w:t>
            </w:r>
          </w:p>
        </w:tc>
      </w:tr>
      <w:tr>
        <w:trPr/>
        <w:tc>
          <w:tcPr>
            <w:tcW w:w="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69</w:t>
            </w:r>
          </w:p>
        </w:tc>
        <w:tc>
          <w:tcPr>
            <w:tcW w:w="735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Персики</w:t>
            </w:r>
          </w:p>
        </w:tc>
        <w:tc>
          <w:tcPr>
            <w:tcW w:w="23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keepNext w:val="false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4"/>
                <w:szCs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</w:rPr>
              <w:t>197,10</w:t>
            </w:r>
          </w:p>
        </w:tc>
      </w:tr>
    </w:tbl>
    <w:p>
      <w:pPr>
        <w:pStyle w:val="Normal"/>
        <w:spacing w:before="240" w:after="0"/>
        <w:ind w:left="0" w:right="0" w:hanging="0"/>
        <w:rPr/>
      </w:pPr>
      <w:r>
        <w:rPr>
          <w:rFonts w:ascii="PT Astra Serif" w:hAnsi="PT Astra Serif"/>
          <w:sz w:val="28"/>
          <w:szCs w:val="28"/>
        </w:rPr>
        <w:t xml:space="preserve">Извещение о проведении закупки (закупочная </w:t>
      </w:r>
      <w:r>
        <w:rPr>
          <w:rFonts w:ascii="PT Astra Serif" w:hAnsi="PT Astra Serif"/>
          <w:color w:val="000000"/>
          <w:sz w:val="28"/>
          <w:szCs w:val="28"/>
        </w:rPr>
        <w:t>документация) опубликовано</w:t>
      </w:r>
      <w:r>
        <w:rPr>
          <w:rFonts w:ascii="PT Astra Serif" w:hAnsi="PT Astra Serif"/>
          <w:sz w:val="28"/>
          <w:szCs w:val="28"/>
        </w:rPr>
        <w:t xml:space="preserve"> «17» июня 2024 года на официальном государственном сайте </w:t>
      </w:r>
      <w:hyperlink r:id="rId2">
        <w:r>
          <w:rPr>
            <w:rFonts w:ascii="PT Astra Serif" w:hAnsi="PT Astra Serif"/>
            <w:color w:val="0000FF"/>
            <w:sz w:val="28"/>
            <w:szCs w:val="28"/>
            <w:u w:val="single" w:color="0063A4"/>
          </w:rPr>
          <w:t>http://www.zakupki.gov.ru</w:t>
        </w:r>
      </w:hyperlink>
      <w:r>
        <w:rPr>
          <w:rFonts w:ascii="PT Astra Serif" w:hAnsi="PT Astra Serif"/>
          <w:color w:val="0000FF"/>
          <w:sz w:val="28"/>
          <w:szCs w:val="28"/>
          <w:u w:val="single" w:color="0063A4"/>
        </w:rPr>
        <w:t>/</w:t>
      </w:r>
      <w:r>
        <w:rPr>
          <w:rFonts w:ascii="PT Astra Serif" w:hAnsi="PT Astra Serif"/>
          <w:sz w:val="28"/>
          <w:szCs w:val="28"/>
        </w:rPr>
        <w:t xml:space="preserve">, закупка 32413710126, на официальном сайте по закупкам атомной отрасли </w:t>
      </w:r>
      <w:hyperlink r:id="rId3">
        <w:r>
          <w:rPr>
            <w:rFonts w:ascii="PT Astra Serif" w:hAnsi="PT Astra Serif"/>
            <w:color w:val="0000FF"/>
            <w:sz w:val="28"/>
            <w:szCs w:val="28"/>
            <w:u w:val="single" w:color="0063A4"/>
          </w:rPr>
          <w:t>http://zakupki.rosatom.ru</w:t>
        </w:r>
      </w:hyperlink>
      <w:r>
        <w:rPr>
          <w:rFonts w:ascii="PT Astra Serif" w:hAnsi="PT Astra Serif"/>
          <w:color w:val="0000FF"/>
          <w:sz w:val="28"/>
          <w:szCs w:val="28"/>
          <w:u w:val="single" w:color="0063A4"/>
        </w:rPr>
        <w:t>/</w:t>
      </w:r>
      <w:r>
        <w:rPr>
          <w:rFonts w:ascii="PT Astra Serif" w:hAnsi="PT Astra Serif"/>
          <w:sz w:val="28"/>
          <w:szCs w:val="28"/>
        </w:rPr>
        <w:t>, закупка № 240617/1662/093,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ЭТП АКЦИОНЕРНОЕ ОБЩЕСТВО «ЭЛЕКТРОННЫЕ ТОРГОВЫЕ СИСТЕМЫ», закупка № 32413710126.</w:t>
      </w:r>
    </w:p>
    <w:p>
      <w:pPr>
        <w:pStyle w:val="Normal"/>
        <w:spacing w:before="12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Заседание закупочной комиссии проводится в очной форме в 11:00 (время московское) «26» июня 2024 года, по адресу: Свердловская обл., г.Заречный, промплощадка БАЭС, инкубационный цех. </w:t>
      </w:r>
    </w:p>
    <w:p>
      <w:pPr>
        <w:pStyle w:val="Normal"/>
        <w:spacing w:before="12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 xml:space="preserve">В заседании принимают участие: </w:t>
      </w:r>
    </w:p>
    <w:tbl>
      <w:tblPr>
        <w:tblStyle w:val="Style_4"/>
        <w:tblW w:w="10309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3561"/>
        <w:gridCol w:w="6747"/>
      </w:tblGrid>
      <w:tr>
        <w:trPr/>
        <w:tc>
          <w:tcPr>
            <w:tcW w:w="35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ФИО </w:t>
            </w:r>
          </w:p>
        </w:tc>
        <w:tc>
          <w:tcPr>
            <w:tcW w:w="67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Должность 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5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67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5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7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>
        <w:trPr/>
        <w:tc>
          <w:tcPr>
            <w:tcW w:w="35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7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</w:tr>
      <w:tr>
        <w:trPr/>
        <w:tc>
          <w:tcPr>
            <w:tcW w:w="35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67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отдела по безопасности</w:t>
            </w:r>
          </w:p>
        </w:tc>
      </w:tr>
      <w:tr>
        <w:trPr/>
        <w:tc>
          <w:tcPr>
            <w:tcW w:w="35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Брезгулевская Юлия Вячеславовна </w:t>
            </w:r>
          </w:p>
        </w:tc>
        <w:tc>
          <w:tcPr>
            <w:tcW w:w="67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Ведущий специалист группы организации закупок</w:t>
            </w:r>
          </w:p>
        </w:tc>
      </w:tr>
      <w:tr>
        <w:trPr/>
        <w:tc>
          <w:tcPr>
            <w:tcW w:w="10308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56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67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>
      <w:pPr>
        <w:pStyle w:val="Normal"/>
        <w:spacing w:before="24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Заседание проводится в присутствии 5 из 5 членов закупочной комиссии.</w:t>
      </w:r>
    </w:p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Кворум имеется.</w:t>
      </w:r>
    </w:p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p>
      <w:pPr>
        <w:pStyle w:val="Normal"/>
        <w:spacing w:before="0" w:after="0"/>
        <w:ind w:left="284" w:right="0" w:hanging="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1.</w:t>
      </w:r>
      <w:r>
        <w:rPr>
          <w:rFonts w:ascii="PT Astra Serif" w:hAnsi="PT Astra Serif"/>
          <w:b w:val="false"/>
          <w:i w:val="false"/>
          <w:caps w:val="false"/>
          <w:smallCaps w:val="false"/>
          <w:color w:val="000000"/>
          <w:sz w:val="28"/>
          <w:szCs w:val="28"/>
        </w:rPr>
        <w:t xml:space="preserve">  </w:t>
      </w:r>
      <w:r>
        <w:rPr>
          <w:rFonts w:ascii="PT Astra Serif" w:hAnsi="PT Astra Serif"/>
          <w:sz w:val="28"/>
          <w:szCs w:val="28"/>
        </w:rPr>
        <w:t xml:space="preserve">Срок окончания подачи заявок на участие в закупке </w:t>
      </w:r>
      <w:r>
        <w:rPr>
          <w:rFonts w:ascii="PT Astra Serif" w:hAnsi="PT Astra Serif"/>
          <w:color w:val="000000"/>
          <w:sz w:val="28"/>
          <w:szCs w:val="28"/>
        </w:rPr>
        <w:t xml:space="preserve">06:00 (время московское)  «25» июня 2024 года. </w:t>
      </w:r>
    </w:p>
    <w:p>
      <w:pPr>
        <w:pStyle w:val="Normal"/>
        <w:spacing w:before="0" w:after="0"/>
        <w:ind w:left="0" w:right="0" w:hanging="0"/>
        <w:rPr/>
      </w:pPr>
      <w:r>
        <w:rPr>
          <w:rFonts w:ascii="PT Astra Serif" w:hAnsi="PT Astra Serif"/>
          <w:sz w:val="28"/>
          <w:szCs w:val="28"/>
        </w:rPr>
        <w:t>Количество поданных на ЭТП  АКЦИОНЕРНОЕ ОБЩЕСТВО «ЭЛЕКТРОННЫЕ ТОРГОВЫЕ СИСТЕМЫ»</w:t>
      </w:r>
      <w:hyperlink r:id="rId4">
        <w:r>
          <w:rPr>
            <w:rFonts w:ascii="PT Astra Serif" w:hAnsi="PT Astra Serif"/>
            <w:color w:val="000000"/>
            <w:sz w:val="28"/>
            <w:szCs w:val="28"/>
          </w:rPr>
          <w:t xml:space="preserve">заявок на участие в закупке </w:t>
        </w:r>
      </w:hyperlink>
      <w:r>
        <w:rPr>
          <w:rFonts w:ascii="PT Astra Serif" w:hAnsi="PT Astra Serif"/>
          <w:sz w:val="28"/>
          <w:szCs w:val="28"/>
        </w:rPr>
        <w:t xml:space="preserve">1 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_4"/>
        <w:tblW w:w="10310" w:type="dxa"/>
        <w:jc w:val="left"/>
        <w:tblInd w:w="0" w:type="dxa"/>
        <w:tblLayout w:type="fixed"/>
        <w:tblCellMar>
          <w:top w:w="82" w:type="dxa"/>
          <w:left w:w="82" w:type="dxa"/>
          <w:bottom w:w="82" w:type="dxa"/>
          <w:right w:w="82" w:type="dxa"/>
        </w:tblCellMar>
      </w:tblPr>
      <w:tblGrid>
        <w:gridCol w:w="3481"/>
        <w:gridCol w:w="6828"/>
      </w:tblGrid>
      <w:tr>
        <w:trPr/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Рег. № заявки на ЭТП</w:t>
            </w:r>
          </w:p>
        </w:tc>
        <w:tc>
          <w:tcPr>
            <w:tcW w:w="6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Дата и время регистрации заявки</w:t>
            </w:r>
          </w:p>
        </w:tc>
      </w:tr>
      <w:tr>
        <w:trPr/>
        <w:tc>
          <w:tcPr>
            <w:tcW w:w="34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  <w:tc>
          <w:tcPr>
            <w:tcW w:w="682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center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«24» июня 2024 года 20:14 (время московское)</w:t>
            </w:r>
          </w:p>
        </w:tc>
      </w:tr>
    </w:tbl>
    <w:p>
      <w:pPr>
        <w:pStyle w:val="Normal"/>
        <w:spacing w:before="240" w:after="16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Согласно протоколу заседания закупочной комиссии по рассмотрению первых частей заявок от «25» июня 2024 № 4318211-1 закупочной комиссией были приняты следующие решения: 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2.1.1. 32413710126-1-1 </w:t>
      </w:r>
      <w:r>
        <w:rPr>
          <w:rFonts w:ascii="PT Astra Serif" w:hAnsi="PT Astra Serif"/>
          <w:b/>
          <w:i/>
          <w:sz w:val="28"/>
          <w:szCs w:val="28"/>
        </w:rPr>
        <w:t>(присвоенный ЭТП идентификационный номер участника закупки)</w:t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Количество заявок на участие в закупке, которые отклонены: 0 заявок на участие в закупке 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3.1. Признать соответствующими требованиям закупочной документации заявки следующих участников: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3.1.1. Участник 1 (32413710126-1-1) Общество с ограниченной ответственностью "ОФОС ТРЕЙД"</w:t>
      </w:r>
    </w:p>
    <w:p>
      <w:pPr>
        <w:pStyle w:val="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Результаты голосования членов закупочной комиссии: </w:t>
        <w:br/>
        <w:t>«за» - 5 голосов;</w:t>
        <w:br/>
        <w:t>«против» - 0 голоса/-ов;</w:t>
        <w:br/>
        <w:t xml:space="preserve">«воздержался» - 0 голоса/-ов. 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Количество отклоненных заявок участников: 0.</w:t>
      </w:r>
    </w:p>
    <w:p>
      <w:pPr>
        <w:pStyle w:val="Normal"/>
        <w:spacing w:before="280" w:after="280"/>
        <w:ind w:left="0" w:right="0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связи с тем, что после окончания срока подачи заявок на участие в процедуре закупки подана только одна заявка, в соответствии с подпунктом а) пункта 1.1 статьи 6.4 главы 6 ЕОСЗ, запрос предложений в электронной форме (МСП) на право заключения договора на поставку сухофруктов, орехов, фруктов и овощей свежих признан несостоявшимся. </w:t>
      </w:r>
    </w:p>
    <w:p>
      <w:pPr>
        <w:pStyle w:val="Normal"/>
        <w:spacing w:before="24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Закупочная комиссия</w:t>
      </w:r>
      <w:r>
        <w:rPr>
          <w:rFonts w:ascii="PT Astra Serif" w:hAnsi="PT Astra Serif"/>
          <w:color w:val="000000"/>
          <w:sz w:val="28"/>
          <w:szCs w:val="28"/>
        </w:rPr>
        <w:t>:</w:t>
      </w:r>
    </w:p>
    <w:p>
      <w:pPr>
        <w:pStyle w:val="Normal"/>
        <w:spacing w:before="0" w:after="0"/>
        <w:ind w:left="0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подтверждает объективность принимаемых решений;</w:t>
      </w:r>
    </w:p>
    <w:p>
      <w:pPr>
        <w:pStyle w:val="Normal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заявляет об отсутствии личной заинтересованности в исходе закупки;</w:t>
      </w:r>
    </w:p>
    <w:p>
      <w:pPr>
        <w:pStyle w:val="Normal"/>
        <w:spacing w:before="0" w:after="0"/>
        <w:ind w:left="567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принимает на себя обязательства:</w:t>
      </w:r>
    </w:p>
    <w:p>
      <w:pPr>
        <w:pStyle w:val="Normal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>
      <w:pPr>
        <w:pStyle w:val="Normal"/>
        <w:spacing w:before="0" w:after="0"/>
        <w:ind w:left="1418" w:right="0" w:hanging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Style w:val="Style_4"/>
        <w:tblW w:w="10208" w:type="dxa"/>
        <w:jc w:val="left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</w:tblPr>
      <w:tblGrid>
        <w:gridCol w:w="3177"/>
        <w:gridCol w:w="5948"/>
        <w:gridCol w:w="1083"/>
      </w:tblGrid>
      <w:tr>
        <w:trPr/>
        <w:tc>
          <w:tcPr>
            <w:tcW w:w="31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ФИО </w:t>
            </w:r>
          </w:p>
        </w:tc>
        <w:tc>
          <w:tcPr>
            <w:tcW w:w="59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Должность </w:t>
            </w:r>
          </w:p>
        </w:tc>
        <w:tc>
          <w:tcPr>
            <w:tcW w:w="10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Подпись </w:t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31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59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0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Члены закупочной комиссии: </w:t>
            </w:r>
          </w:p>
        </w:tc>
      </w:tr>
      <w:tr>
        <w:trPr/>
        <w:tc>
          <w:tcPr>
            <w:tcW w:w="31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9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0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1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9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0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1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Карнаух Наталья Владимировна </w:t>
            </w:r>
          </w:p>
        </w:tc>
        <w:tc>
          <w:tcPr>
            <w:tcW w:w="59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0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31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Брезгулевская Юлия Вячеславовна </w:t>
            </w:r>
          </w:p>
        </w:tc>
        <w:tc>
          <w:tcPr>
            <w:tcW w:w="59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Ведущий специалист группы организации закупок</w:t>
            </w:r>
          </w:p>
        </w:tc>
        <w:tc>
          <w:tcPr>
            <w:tcW w:w="10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>
        <w:trPr/>
        <w:tc>
          <w:tcPr>
            <w:tcW w:w="317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left"/>
              <w:rPr>
                <w:sz w:val="24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Лемиш Евгения Николаевна </w:t>
            </w:r>
          </w:p>
        </w:tc>
        <w:tc>
          <w:tcPr>
            <w:tcW w:w="59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08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0" w:right="0" w:hanging="0"/>
              <w:jc w:val="both"/>
              <w:rPr>
                <w:rFonts w:ascii="PT Astra Serif" w:hAnsi="PT Astra Serif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pPr>
            <w:r>
              <w:rPr>
                <w:rFonts w:ascii="PT Astra Serif" w:hAnsi="PT Astra 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</w:r>
          </w:p>
        </w:tc>
      </w:tr>
    </w:tbl>
    <w:p>
      <w:pPr>
        <w:pStyle w:val="Normal"/>
        <w:spacing w:before="240" w:after="0"/>
        <w:ind w:left="0" w:right="0" w:hanging="0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</w:p>
    <w:sectPr>
      <w:type w:val="nextPage"/>
      <w:pgSz w:w="12240" w:h="15840"/>
      <w:pgMar w:left="1440" w:right="540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default"/>
  </w:font>
  <w:font w:name="Times New Roman">
    <w:charset w:val="01"/>
    <w:family w:val="roman"/>
    <w:pitch w:val="default"/>
  </w:font>
  <w:font w:name="sans-serif">
    <w:altName w:val="Arial"/>
    <w:charset w:val="01"/>
    <w:family w:val="roman"/>
    <w:pitch w:val="default"/>
  </w:font>
  <w:font w:name="serif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Tahoma" w:cs="Noto Sans Devanagari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keepLines/>
      <w:spacing w:before="240" w:after="0"/>
      <w:outlineLvl w:val="0"/>
    </w:pPr>
    <w:rPr>
      <w:rFonts w:ascii="Times New Roman" w:hAnsi="Times New Roman"/>
      <w:b/>
      <w:i w:val="false"/>
      <w:color w:val="2F5496"/>
      <w:sz w:val="48"/>
    </w:rPr>
  </w:style>
  <w:style w:type="paragraph" w:styleId="2">
    <w:name w:val="Heading 2"/>
    <w:basedOn w:val="Normal"/>
    <w:next w:val="Normal"/>
    <w:uiPriority w:val="9"/>
    <w:qFormat/>
    <w:pPr>
      <w:keepNext w:val="true"/>
      <w:keepLines/>
      <w:spacing w:before="40" w:after="0"/>
      <w:outlineLvl w:val="1"/>
    </w:pPr>
    <w:rPr>
      <w:rFonts w:ascii="Times New Roman" w:hAnsi="Times New Roman"/>
      <w:b/>
      <w:i w:val="false"/>
      <w:color w:val="2F5496"/>
      <w:sz w:val="36"/>
    </w:rPr>
  </w:style>
  <w:style w:type="paragraph" w:styleId="3">
    <w:name w:val="Heading 3"/>
    <w:basedOn w:val="Normal"/>
    <w:next w:val="Normal"/>
    <w:uiPriority w:val="9"/>
    <w:qFormat/>
    <w:pPr>
      <w:keepNext w:val="true"/>
      <w:keepLines/>
      <w:spacing w:before="40" w:after="0"/>
      <w:outlineLvl w:val="2"/>
    </w:pPr>
    <w:rPr>
      <w:rFonts w:ascii="Times New Roman" w:hAnsi="Times New Roman"/>
      <w:b/>
      <w:i w:val="false"/>
      <w:color w:val="1F3763"/>
      <w:sz w:val="28"/>
    </w:rPr>
  </w:style>
  <w:style w:type="paragraph" w:styleId="4">
    <w:name w:val="Heading 4"/>
    <w:basedOn w:val="Normal"/>
    <w:next w:val="Normal"/>
    <w:uiPriority w:val="9"/>
    <w:qFormat/>
    <w:pPr>
      <w:keepNext w:val="true"/>
      <w:keepLines/>
      <w:spacing w:before="40" w:after="0"/>
      <w:outlineLvl w:val="3"/>
    </w:pPr>
    <w:rPr>
      <w:rFonts w:ascii="Times New Roman" w:hAnsi="Times New Roman"/>
      <w:b/>
      <w:i w:val="false"/>
      <w:color w:val="2F5496"/>
      <w:sz w:val="24"/>
    </w:rPr>
  </w:style>
  <w:style w:type="paragraph" w:styleId="5">
    <w:name w:val="Heading 5"/>
    <w:basedOn w:val="Normal"/>
    <w:next w:val="Normal"/>
    <w:uiPriority w:val="9"/>
    <w:qFormat/>
    <w:pPr>
      <w:keepNext w:val="true"/>
      <w:keepLines/>
      <w:spacing w:before="40" w:after="0"/>
      <w:outlineLvl w:val="4"/>
    </w:pPr>
    <w:rPr>
      <w:rFonts w:ascii="Times New Roman" w:hAnsi="Times New Roman"/>
      <w:b/>
      <w:i w:val="false"/>
      <w:color w:val="2F5496"/>
      <w:sz w:val="20"/>
    </w:rPr>
  </w:style>
  <w:style w:type="paragraph" w:styleId="6">
    <w:name w:val="Heading 6"/>
    <w:basedOn w:val="Normal"/>
    <w:next w:val="Normal"/>
    <w:uiPriority w:val="9"/>
    <w:qFormat/>
    <w:pPr>
      <w:keepNext w:val="true"/>
      <w:keepLines/>
      <w:spacing w:before="40" w:after="0"/>
      <w:outlineLvl w:val="5"/>
    </w:pPr>
    <w:rPr>
      <w:rFonts w:ascii="Times New Roman" w:hAnsi="Times New Roman"/>
      <w:b/>
      <w:i w:val="false"/>
      <w:color w:val="1F3763"/>
      <w:sz w:val="16"/>
    </w:rPr>
  </w:style>
  <w:style w:type="character" w:styleId="PMsoBodyText">
    <w:name w:val="p_MsoBodyText"/>
    <w:basedOn w:val="P"/>
    <w:link w:val="PMsoBodyText1"/>
    <w:qFormat/>
    <w:rPr>
      <w:rFonts w:ascii="sans-serif" w:hAnsi="sans-serif"/>
      <w:sz w:val="24"/>
    </w:rPr>
  </w:style>
  <w:style w:type="character" w:styleId="Contents2">
    <w:name w:val="Contents 2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sz w:val="28"/>
    </w:rPr>
  </w:style>
  <w:style w:type="character" w:styleId="Contents6">
    <w:name w:val="Contents 6"/>
    <w:qFormat/>
    <w:rPr>
      <w:rFonts w:ascii="XO Thames" w:hAnsi="XO Thames"/>
      <w:sz w:val="28"/>
    </w:rPr>
  </w:style>
  <w:style w:type="character" w:styleId="Contents7">
    <w:name w:val="Contents 7"/>
    <w:qFormat/>
    <w:rPr>
      <w:rFonts w:ascii="XO Thames" w:hAnsi="XO Thames"/>
      <w:sz w:val="28"/>
    </w:rPr>
  </w:style>
  <w:style w:type="character" w:styleId="Endnote">
    <w:name w:val="Endnote"/>
    <w:link w:val="Endnote1"/>
    <w:qFormat/>
    <w:rPr>
      <w:rFonts w:ascii="XO Thames" w:hAnsi="XO Thames"/>
      <w:sz w:val="22"/>
    </w:rPr>
  </w:style>
  <w:style w:type="character" w:styleId="Heading3">
    <w:name w:val="Heading 3"/>
    <w:qFormat/>
    <w:rPr>
      <w:rFonts w:ascii="Times New Roman" w:hAnsi="Times New Roman"/>
      <w:b/>
      <w:i w:val="false"/>
      <w:color w:val="1F3763"/>
      <w:sz w:val="28"/>
    </w:rPr>
  </w:style>
  <w:style w:type="character" w:styleId="DivWordSection1">
    <w:name w:val="div_WordSection1"/>
    <w:link w:val="DivWordSection11"/>
    <w:qFormat/>
    <w:rPr/>
  </w:style>
  <w:style w:type="character" w:styleId="PMsoListParagraph">
    <w:name w:val="p_MsoListParagraph"/>
    <w:basedOn w:val="P"/>
    <w:link w:val="PMsoListParagraph1"/>
    <w:qFormat/>
    <w:rPr>
      <w:rFonts w:ascii="sans-serif" w:hAnsi="sans-serif"/>
      <w:sz w:val="22"/>
    </w:rPr>
  </w:style>
  <w:style w:type="character" w:styleId="P">
    <w:name w:val="p"/>
    <w:link w:val="P1"/>
    <w:qFormat/>
    <w:rPr>
      <w:rFonts w:ascii="serif" w:hAnsi="serif"/>
      <w:sz w:val="24"/>
    </w:rPr>
  </w:style>
  <w:style w:type="character" w:styleId="Contents3">
    <w:name w:val="Contents 3"/>
    <w:qFormat/>
    <w:rPr>
      <w:rFonts w:ascii="XO Thames" w:hAnsi="XO Thames"/>
      <w:sz w:val="28"/>
    </w:rPr>
  </w:style>
  <w:style w:type="character" w:styleId="SpanGramE">
    <w:name w:val="span_GramE"/>
    <w:basedOn w:val="DefaultParagraphFont"/>
    <w:link w:val="SpanGramE1"/>
    <w:qFormat/>
    <w:rPr/>
  </w:style>
  <w:style w:type="character" w:styleId="Heading5">
    <w:name w:val="Heading 5"/>
    <w:qFormat/>
    <w:rPr>
      <w:rFonts w:ascii="Times New Roman" w:hAnsi="Times New Roman"/>
      <w:b/>
      <w:i w:val="false"/>
      <w:color w:val="2F5496"/>
      <w:sz w:val="20"/>
    </w:rPr>
  </w:style>
  <w:style w:type="character" w:styleId="Heading1">
    <w:name w:val="Heading 1"/>
    <w:qFormat/>
    <w:rPr>
      <w:rFonts w:ascii="Times New Roman" w:hAnsi="Times New Roman"/>
      <w:b/>
      <w:i w:val="false"/>
      <w:color w:val="2F5496"/>
      <w:sz w:val="48"/>
    </w:rPr>
  </w:style>
  <w:style w:type="character" w:styleId="SpanSpellE">
    <w:name w:val="span_SpellE"/>
    <w:basedOn w:val="DefaultParagraphFont"/>
    <w:link w:val="SpanSpellE1"/>
    <w:qFormat/>
    <w:rPr/>
  </w:style>
  <w:style w:type="character" w:styleId="-">
    <w:name w:val="Hyperlink"/>
    <w:rPr>
      <w:color w:val="0000FF"/>
      <w:u w:val="single"/>
    </w:rPr>
  </w:style>
  <w:style w:type="character" w:styleId="Footnote">
    <w:name w:val="Footnote"/>
    <w:link w:val="Footnote1"/>
    <w:qFormat/>
    <w:rPr>
      <w:rFonts w:ascii="XO Thames" w:hAnsi="XO Thames"/>
      <w:sz w:val="22"/>
    </w:rPr>
  </w:style>
  <w:style w:type="character" w:styleId="DefaultParagraphFont">
    <w:name w:val="Default Paragraph Font"/>
    <w:link w:val="DefaultParagraphFont1"/>
    <w:qFormat/>
    <w:rPr/>
  </w:style>
  <w:style w:type="character" w:styleId="Contents1">
    <w:name w:val="Contents 1"/>
    <w:qFormat/>
    <w:rPr>
      <w:rFonts w:ascii="XO Thames" w:hAnsi="XO Thames"/>
      <w:b/>
      <w:sz w:val="28"/>
    </w:rPr>
  </w:style>
  <w:style w:type="character" w:styleId="HeaderandFooter">
    <w:name w:val="Header and Footer"/>
    <w:qFormat/>
    <w:rPr>
      <w:rFonts w:ascii="XO Thames" w:hAnsi="XO Thames"/>
      <w:sz w:val="20"/>
    </w:rPr>
  </w:style>
  <w:style w:type="character" w:styleId="PMsoNormal">
    <w:name w:val="p_MsoNormal"/>
    <w:basedOn w:val="P"/>
    <w:link w:val="PMsoNormal1"/>
    <w:qFormat/>
    <w:rPr>
      <w:rFonts w:ascii="sans-serif" w:hAnsi="sans-serif"/>
      <w:sz w:val="24"/>
    </w:rPr>
  </w:style>
  <w:style w:type="character" w:styleId="SpanMsoHyperlink">
    <w:name w:val="span_MsoHyperlink"/>
    <w:basedOn w:val="DefaultParagraphFont"/>
    <w:link w:val="SpanMsoHyperlink1"/>
    <w:qFormat/>
    <w:rPr>
      <w:color w:val="0063A4"/>
    </w:rPr>
  </w:style>
  <w:style w:type="character" w:styleId="Contents9">
    <w:name w:val="Contents 9"/>
    <w:qFormat/>
    <w:rPr>
      <w:rFonts w:ascii="XO Thames" w:hAnsi="XO Thames"/>
      <w:sz w:val="28"/>
    </w:rPr>
  </w:style>
  <w:style w:type="character" w:styleId="Contents8">
    <w:name w:val="Contents 8"/>
    <w:qFormat/>
    <w:rPr>
      <w:rFonts w:ascii="XO Thames" w:hAnsi="XO Thames"/>
      <w:sz w:val="28"/>
    </w:rPr>
  </w:style>
  <w:style w:type="character" w:styleId="Contents5">
    <w:name w:val="Contents 5"/>
    <w:qFormat/>
    <w:rPr>
      <w:rFonts w:ascii="XO Thames" w:hAnsi="XO Thames"/>
      <w:sz w:val="28"/>
    </w:rPr>
  </w:style>
  <w:style w:type="character" w:styleId="Subtitle">
    <w:name w:val="Subtitle"/>
    <w:qFormat/>
    <w:rPr>
      <w:rFonts w:ascii="XO Thames" w:hAnsi="XO Thames"/>
      <w:i/>
      <w:sz w:val="24"/>
    </w:rPr>
  </w:style>
  <w:style w:type="character" w:styleId="Title">
    <w:name w:val="Title"/>
    <w:qFormat/>
    <w:rPr>
      <w:rFonts w:ascii="XO Thames" w:hAnsi="XO Thames"/>
      <w:b/>
      <w:caps/>
      <w:sz w:val="40"/>
    </w:rPr>
  </w:style>
  <w:style w:type="character" w:styleId="Heading4">
    <w:name w:val="Heading 4"/>
    <w:qFormat/>
    <w:rPr>
      <w:rFonts w:ascii="Times New Roman" w:hAnsi="Times New Roman"/>
      <w:b/>
      <w:i w:val="false"/>
      <w:color w:val="2F5496"/>
      <w:sz w:val="24"/>
    </w:rPr>
  </w:style>
  <w:style w:type="character" w:styleId="Heading2">
    <w:name w:val="Heading 2"/>
    <w:qFormat/>
    <w:rPr>
      <w:rFonts w:ascii="Times New Roman" w:hAnsi="Times New Roman"/>
      <w:b/>
      <w:i w:val="false"/>
      <w:color w:val="2F5496"/>
      <w:sz w:val="36"/>
    </w:rPr>
  </w:style>
  <w:style w:type="character" w:styleId="Heading6">
    <w:name w:val="Heading 6"/>
    <w:qFormat/>
    <w:rPr>
      <w:rFonts w:ascii="Times New Roman" w:hAnsi="Times New Roman"/>
      <w:b/>
      <w:i w:val="false"/>
      <w:color w:val="1F3763"/>
      <w:sz w:val="16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ascii="PT Astra Serif" w:hAnsi="PT Astra Serif" w:cs="Noto Sans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PMsoBodyText1">
    <w:name w:val="p_MsoBodyText"/>
    <w:basedOn w:val="P1"/>
    <w:link w:val="PMsoBodyText"/>
    <w:qFormat/>
    <w:pPr>
      <w:jc w:val="both"/>
    </w:pPr>
    <w:rPr>
      <w:rFonts w:ascii="sans-serif" w:hAnsi="sans-serif"/>
      <w:sz w:val="24"/>
    </w:rPr>
  </w:style>
  <w:style w:type="paragraph" w:styleId="21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41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61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Endnote1">
    <w:name w:val="Endnote"/>
    <w:link w:val="End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DivWordSection11">
    <w:name w:val="div_WordSection1"/>
    <w:basedOn w:val="Normal"/>
    <w:link w:val="DivWordSection1"/>
    <w:qFormat/>
    <w:pPr/>
    <w:rPr/>
  </w:style>
  <w:style w:type="paragraph" w:styleId="PMsoListParagraph1">
    <w:name w:val="p_MsoListParagraph"/>
    <w:basedOn w:val="P1"/>
    <w:link w:val="PMsoListParagraph"/>
    <w:qFormat/>
    <w:pPr/>
    <w:rPr>
      <w:rFonts w:ascii="sans-serif" w:hAnsi="sans-serif"/>
      <w:sz w:val="22"/>
    </w:rPr>
  </w:style>
  <w:style w:type="paragraph" w:styleId="P1">
    <w:name w:val="p"/>
    <w:basedOn w:val="Normal"/>
    <w:link w:val="P"/>
    <w:qFormat/>
    <w:pPr/>
    <w:rPr>
      <w:rFonts w:ascii="serif" w:hAnsi="serif"/>
      <w:sz w:val="24"/>
    </w:rPr>
  </w:style>
  <w:style w:type="paragraph" w:styleId="31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panGramE1">
    <w:name w:val="span_GramE"/>
    <w:basedOn w:val="DefaultParagraphFont1"/>
    <w:link w:val="SpanGramE"/>
    <w:qFormat/>
    <w:pPr/>
    <w:rPr/>
  </w:style>
  <w:style w:type="paragraph" w:styleId="SpanSpellE1">
    <w:name w:val="span_SpellE"/>
    <w:basedOn w:val="DefaultParagraphFont1"/>
    <w:link w:val="SpanSpellE"/>
    <w:qFormat/>
    <w:pPr/>
    <w:rPr/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Footnote"/>
    <w:qFormat/>
    <w:pPr>
      <w:widowControl/>
      <w:suppressAutoHyphens w:val="true"/>
      <w:bidi w:val="0"/>
      <w:spacing w:lineRule="auto" w:line="240" w:before="0" w:after="0"/>
      <w:ind w:left="0" w:right="0" w:firstLine="851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DefaultParagraphFont1">
    <w:name w:val="Default Paragraph Font"/>
    <w:link w:val="DefaultParagraphFont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Style13">
    <w:name w:val="Колонтитул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PMsoNormal1">
    <w:name w:val="p_MsoNormal"/>
    <w:basedOn w:val="P1"/>
    <w:link w:val="PMsoNormal"/>
    <w:qFormat/>
    <w:pPr>
      <w:jc w:val="both"/>
    </w:pPr>
    <w:rPr>
      <w:rFonts w:ascii="sans-serif" w:hAnsi="sans-serif"/>
      <w:sz w:val="24"/>
    </w:rPr>
  </w:style>
  <w:style w:type="paragraph" w:styleId="SpanMsoHyperlink1">
    <w:name w:val="span_MsoHyperlink"/>
    <w:basedOn w:val="DefaultParagraphFont1"/>
    <w:link w:val="SpanMsoHyperlink"/>
    <w:qFormat/>
    <w:pPr/>
    <w:rPr>
      <w:color w:val="0063A4"/>
    </w:rPr>
  </w:style>
  <w:style w:type="paragraph" w:styleId="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51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Style14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Title"/>
    <w:next w:val="Normal"/>
    <w:uiPriority w:val="10"/>
    <w:qFormat/>
    <w:pPr>
      <w:widowControl/>
      <w:suppressAutoHyphens w:val="true"/>
      <w:bidi w:val="0"/>
      <w:spacing w:lineRule="auto" w:line="240" w:before="567" w:after="567"/>
      <w:ind w:left="0" w:right="0" w:hanging="0"/>
      <w:jc w:val="center"/>
    </w:pPr>
    <w:rPr>
      <w:rFonts w:ascii="XO Thames" w:hAnsi="XO Thames" w:eastAsia="Tahoma" w:cs="Noto Sans Devanagari"/>
      <w:b/>
      <w:caps/>
      <w:color w:val="000000"/>
      <w:spacing w:val="0"/>
      <w:kern w:val="0"/>
      <w:sz w:val="40"/>
      <w:szCs w:val="20"/>
      <w:lang w:val="ru-RU" w:eastAsia="zh-CN" w:bidi="hi-IN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table" w:styleId="Style_4">
    <w:name w:val="MsoTableGrid"/>
    <w:basedOn w:val="Style_34"/>
  </w:style>
  <w:style w:type="table" w:styleId="Style_3">
    <w:name w:val="MsoNormalTable"/>
    <w:basedOn w:val="Style_34"/>
  </w:style>
  <w:style w:type="table" w:default="1" w:styleId="Style_34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LibreOffice/7.5.6.2$Linux_X86_64 LibreOffice_project/50$Build-2</Application>
  <AppVersion>15.0000</AppVersion>
  <Pages>6</Pages>
  <Words>955</Words>
  <Characters>6458</Characters>
  <CharactersWithSpaces>7177</CharactersWithSpaces>
  <Paragraphs>291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2024-06-27T10:32:26Z</cp:lastPrinted>
  <dcterms:modified xsi:type="dcterms:W3CDTF">2024-06-27T10:32:29Z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