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right="0" w:hanging="0"/>
        <w:jc w:val="center"/>
        <w:outlineLvl w:val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b/>
          <w:sz w:val="28"/>
          <w:szCs w:val="28"/>
        </w:rPr>
        <w:t>П</w:t>
      </w:r>
      <w:r>
        <w:rPr>
          <w:rFonts w:ascii="XO Thames" w:hAnsi="XO Thames"/>
          <w:b/>
          <w:caps/>
          <w:sz w:val="28"/>
          <w:szCs w:val="28"/>
        </w:rPr>
        <w:t>ротокол</w:t>
      </w:r>
      <w:r>
        <w:rPr>
          <w:rFonts w:ascii="XO Thames" w:hAnsi="XO Thames"/>
          <w:b/>
          <w:sz w:val="28"/>
          <w:szCs w:val="28"/>
        </w:rPr>
        <w:t xml:space="preserve"> № 2269</w:t>
      </w:r>
    </w:p>
    <w:p>
      <w:pPr>
        <w:pStyle w:val="Style19"/>
        <w:keepLines w:val="false"/>
        <w:widowControl w:val="false"/>
        <w:numPr>
          <w:ilvl w:val="0"/>
          <w:numId w:val="0"/>
        </w:numPr>
        <w:spacing w:before="0" w:after="0"/>
        <w:ind w:left="0" w:right="0" w:hanging="0"/>
        <w:jc w:val="center"/>
        <w:outlineLvl w:val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b/>
          <w:sz w:val="28"/>
          <w:szCs w:val="28"/>
        </w:rPr>
        <w:t>заседания закупочной комиссии по подведению итогов по запросу предложений  на Замену (монтаж) секционных ворот на объектах и территориях ООО «Смоленская АЭС-Сервис».</w:t>
      </w:r>
    </w:p>
    <w:p>
      <w:pPr>
        <w:pStyle w:val="Style19"/>
        <w:widowControl w:val="false"/>
        <w:numPr>
          <w:ilvl w:val="0"/>
          <w:numId w:val="0"/>
        </w:numPr>
        <w:spacing w:before="0" w:after="0"/>
        <w:ind w:left="0" w:right="0" w:hanging="0"/>
        <w:jc w:val="center"/>
        <w:outlineLvl w:val="0"/>
        <w:rPr>
          <w:rFonts w:ascii="XO Thames" w:hAnsi="XO Thames"/>
          <w:b/>
          <w:sz w:val="28"/>
          <w:szCs w:val="28"/>
        </w:rPr>
      </w:pPr>
      <w:r>
        <w:rPr>
          <w:rFonts w:ascii="XO Thames" w:hAnsi="XO Thames"/>
          <w:b/>
          <w:sz w:val="28"/>
          <w:szCs w:val="28"/>
        </w:rPr>
      </w:r>
    </w:p>
    <w:p>
      <w:pPr>
        <w:pStyle w:val="Style19"/>
        <w:keepLines w:val="false"/>
        <w:widowControl w:val="false"/>
        <w:numPr>
          <w:ilvl w:val="0"/>
          <w:numId w:val="0"/>
        </w:numPr>
        <w:spacing w:before="0" w:after="0"/>
        <w:ind w:left="0" w:right="0" w:hanging="0"/>
        <w:jc w:val="center"/>
        <w:outlineLvl w:val="0"/>
        <w:rPr>
          <w:rFonts w:ascii="XO Thames" w:hAnsi="XO Thames"/>
          <w:b/>
          <w:sz w:val="28"/>
          <w:szCs w:val="28"/>
        </w:rPr>
      </w:pPr>
      <w:r>
        <w:rPr>
          <w:rFonts w:ascii="XO Thames" w:hAnsi="XO Thames"/>
          <w:b/>
          <w:sz w:val="28"/>
          <w:szCs w:val="28"/>
        </w:rPr>
      </w:r>
    </w:p>
    <w:p>
      <w:pPr>
        <w:pStyle w:val="Style19"/>
        <w:keepLines w:val="false"/>
        <w:widowControl w:val="false"/>
        <w:numPr>
          <w:ilvl w:val="0"/>
          <w:numId w:val="0"/>
        </w:numPr>
        <w:spacing w:before="0" w:after="0"/>
        <w:ind w:left="0" w:right="0" w:hanging="0"/>
        <w:outlineLvl w:val="0"/>
        <w:rPr>
          <w:rFonts w:ascii="XO Thames" w:hAnsi="XO Thames"/>
          <w:b/>
          <w:sz w:val="28"/>
          <w:szCs w:val="28"/>
        </w:rPr>
      </w:pPr>
      <w:r>
        <w:rPr>
          <w:rFonts w:ascii="XO Thames" w:hAnsi="XO Thames"/>
          <w:b/>
          <w:sz w:val="28"/>
          <w:szCs w:val="28"/>
        </w:rPr>
      </w:r>
    </w:p>
    <w:tbl>
      <w:tblPr>
        <w:tblStyle w:val="Style_4"/>
        <w:tblW w:w="100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1"/>
        <w:gridCol w:w="7302"/>
      </w:tblGrid>
      <w:tr>
        <w:trPr/>
        <w:tc>
          <w:tcPr>
            <w:tcW w:w="2731" w:type="dxa"/>
            <w:tcBorders/>
          </w:tcPr>
          <w:p>
            <w:pPr>
              <w:pStyle w:val="Style19"/>
              <w:keepLines w:val="false"/>
              <w:widowControl w:val="false"/>
              <w:suppressAutoHyphens w:val="true"/>
              <w:spacing w:lineRule="auto" w:line="276" w:before="0" w:after="0"/>
              <w:ind w:left="0" w:right="0" w:hanging="0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г. Десногорск</w:t>
            </w:r>
          </w:p>
        </w:tc>
        <w:tc>
          <w:tcPr>
            <w:tcW w:w="7302" w:type="dxa"/>
            <w:tcBorders/>
          </w:tcPr>
          <w:p>
            <w:pPr>
              <w:pStyle w:val="Style19"/>
              <w:keepLines w:val="false"/>
              <w:widowControl w:val="false"/>
              <w:suppressAutoHyphens w:val="true"/>
              <w:spacing w:lineRule="auto" w:line="276" w:before="0" w:after="0"/>
              <w:ind w:left="0" w:right="0" w:hanging="0"/>
              <w:jc w:val="right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дата подписания протокола «12» августа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XO Thames" w:hAnsi="XO Thames"/>
          <w:b/>
          <w:sz w:val="28"/>
          <w:szCs w:val="28"/>
        </w:rPr>
      </w:pPr>
      <w:r>
        <w:rPr>
          <w:rFonts w:ascii="XO Thames" w:hAnsi="XO Thames"/>
          <w:b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/>
      </w:pPr>
      <w:r>
        <w:rPr>
          <w:rFonts w:ascii="XO Thames" w:hAnsi="XO Thames"/>
          <w:sz w:val="28"/>
          <w:szCs w:val="28"/>
        </w:rPr>
        <w:t xml:space="preserve">Запрос предложений в электронной форме (мсп)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 в </w:t>
      </w:r>
      <w:r>
        <w:rPr>
          <w:rFonts w:ascii="XO Thames" w:hAnsi="XO Thames"/>
          <w:color w:val="000000"/>
          <w:sz w:val="28"/>
          <w:szCs w:val="28"/>
        </w:rPr>
        <w:t>документации по процедуре закупки ,</w:t>
      </w:r>
      <w:r>
        <w:rPr>
          <w:rFonts w:ascii="XO Thames" w:hAnsi="XO Thames"/>
          <w:color w:val="FF0000"/>
          <w:sz w:val="28"/>
          <w:szCs w:val="28"/>
        </w:rPr>
        <w:t xml:space="preserve"> </w:t>
      </w:r>
      <w:r>
        <w:rPr>
          <w:rFonts w:ascii="XO Thames" w:hAnsi="XO Thames"/>
          <w:color w:val="000000"/>
          <w:sz w:val="28"/>
          <w:szCs w:val="28"/>
        </w:rPr>
        <w:t xml:space="preserve">с использованием функционала </w:t>
      </w:r>
      <w:r>
        <w:rPr>
          <w:rFonts w:ascii="XO Thames" w:hAnsi="XO Thames"/>
          <w:b/>
          <w:color w:val="000000"/>
          <w:sz w:val="28"/>
          <w:szCs w:val="28"/>
        </w:rPr>
        <w:t>(</w:t>
      </w:r>
      <w:r>
        <w:rPr>
          <w:rFonts w:ascii="XO Thames" w:hAnsi="XO Thames"/>
          <w:b/>
          <w:i w:val="false"/>
          <w:strike w:val="false"/>
          <w:dstrike w:val="false"/>
          <w:color w:val="000000"/>
          <w:sz w:val="28"/>
          <w:szCs w:val="28"/>
        </w:rPr>
        <w:t xml:space="preserve">ЭТП) АКЦИОНЕРНОЕ ОБЩЕСТВО «ЭЛЕКТРОННЫЕ ТОРГОВЫЕ СИСТЕМЫ» в сети «Интернет» по адресу: </w:t>
      </w:r>
      <w:hyperlink r:id="rId2">
        <w:r>
          <w:rPr>
            <w:rFonts w:ascii="XO Thames" w:hAnsi="XO Thames"/>
            <w:b/>
            <w:i w:val="false"/>
            <w:strike w:val="false"/>
            <w:dstrike w:val="false"/>
            <w:color w:val="000000"/>
            <w:sz w:val="28"/>
            <w:szCs w:val="28"/>
          </w:rPr>
          <w:t>https://www.etp-ets.ru/</w:t>
        </w:r>
      </w:hyperlink>
      <w:r>
        <w:rPr>
          <w:rFonts w:ascii="XO Thames" w:hAnsi="XO Thames"/>
          <w:color w:val="000000"/>
          <w:sz w:val="28"/>
          <w:szCs w:val="28"/>
        </w:rPr>
        <w:t xml:space="preserve">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b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Заказчик: Общество с ограниченной ответственностью "Смоленская АЭС - Сервис".</w:t>
      </w:r>
    </w:p>
    <w:p>
      <w:pPr>
        <w:pStyle w:val="Normal"/>
        <w:tabs>
          <w:tab w:val="clear" w:pos="708"/>
          <w:tab w:val="left" w:pos="252" w:leader="none"/>
        </w:tabs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Организатор процедуры закупки: ООО "Смоленская АЭС-Сервис".</w:t>
      </w:r>
    </w:p>
    <w:p>
      <w:pPr>
        <w:pStyle w:val="Normal"/>
        <w:tabs>
          <w:tab w:val="clear" w:pos="708"/>
          <w:tab w:val="left" w:pos="252" w:leader="none"/>
        </w:tabs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Предмет </w:t>
      </w:r>
      <w:r>
        <w:rPr>
          <w:rFonts w:ascii="XO Thames" w:hAnsi="XO Thames"/>
          <w:color w:val="000000"/>
          <w:sz w:val="28"/>
          <w:szCs w:val="28"/>
        </w:rPr>
        <w:t>процедуры закупки</w:t>
      </w:r>
      <w:r>
        <w:rPr>
          <w:rFonts w:ascii="XO Thames" w:hAnsi="XO Thames"/>
          <w:sz w:val="28"/>
          <w:szCs w:val="28"/>
        </w:rPr>
        <w:t xml:space="preserve">: запрос предложений в электронной форме (мсп) в электронной форме без предварительного квалификационного отбора на </w:t>
      </w:r>
      <w:r>
        <w:rPr>
          <w:rFonts w:ascii="XO Thames" w:hAnsi="XO Thames"/>
          <w:b w:val="false"/>
          <w:sz w:val="28"/>
          <w:szCs w:val="28"/>
        </w:rPr>
        <w:t>Замену (монтаж) секционных ворот на объектах и территориях ООО «Смоленская АЭС-Сервис».</w:t>
      </w:r>
    </w:p>
    <w:p>
      <w:pPr>
        <w:pStyle w:val="Normal"/>
        <w:keepLines w:val="false"/>
        <w:rPr>
          <w:rFonts w:ascii="XO Thames" w:hAnsi="XO Thames"/>
          <w:sz w:val="28"/>
          <w:szCs w:val="28"/>
        </w:rPr>
      </w:pPr>
      <w:r>
        <w:rPr>
          <w:rFonts w:ascii="XO Thames" w:hAnsi="XO Thames"/>
          <w:b w:val="false"/>
          <w:sz w:val="28"/>
          <w:szCs w:val="28"/>
        </w:rPr>
        <w:t>Предмет договора: Замена (монтаж) секционных ворот на объектах и территориях ООО «Смоленская АЭС-Сервис».</w:t>
      </w:r>
    </w:p>
    <w:p>
      <w:pPr>
        <w:pStyle w:val="Normal"/>
        <w:keepLines w:val="false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Состав и объем услуг: все необходимые сведения приведены в Томе 2 закупочной документации </w:t>
      </w:r>
    </w:p>
    <w:p>
      <w:pPr>
        <w:pStyle w:val="Normal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Срок оказания услуг: 30.12.2025</w:t>
      </w:r>
    </w:p>
    <w:p>
      <w:pPr>
        <w:pStyle w:val="Normal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Начальная (максимальная) цена договора: </w:t>
      </w:r>
      <w:r>
        <w:rPr>
          <w:rFonts w:ascii="XO Thames" w:hAnsi="XO Thames"/>
          <w:b w:val="false"/>
          <w:color w:val="000000"/>
          <w:sz w:val="28"/>
          <w:szCs w:val="28"/>
        </w:rPr>
        <w:t>7 312 374,00 (семь миллионов триста двенадцать тысяч триста семьдесят четыре) рубля 00 копеек,  с учетом всех налогов, сборов и прочих расходов в соответствии с законодательством Российской Федерации;</w:t>
      </w:r>
    </w:p>
    <w:p>
      <w:pPr>
        <w:pStyle w:val="Normal"/>
        <w:ind w:left="0" w:right="0" w:hanging="0"/>
        <w:jc w:val="lef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ind w:left="0" w:right="0" w:hanging="0"/>
        <w:rPr/>
      </w:pPr>
      <w:r>
        <w:rPr>
          <w:rFonts w:ascii="XO Thames" w:hAnsi="XO Thames"/>
          <w:color w:val="000000"/>
          <w:sz w:val="28"/>
          <w:szCs w:val="28"/>
        </w:rPr>
        <w:t xml:space="preserve">Извещение о проведении закупки и закупочная документация опубликованы «01» августа 2024 года на официальном государственном сайте </w:t>
      </w:r>
      <w:hyperlink r:id="rId3">
        <w:r>
          <w:rPr>
            <w:rFonts w:ascii="XO Thames" w:hAnsi="XO Thames"/>
            <w:color w:val="0063A4"/>
            <w:sz w:val="28"/>
            <w:szCs w:val="28"/>
          </w:rPr>
          <w:t>http://www.zakupki.gov.ru</w:t>
        </w:r>
      </w:hyperlink>
      <w:r>
        <w:rPr>
          <w:rFonts w:ascii="XO Thames" w:hAnsi="XO Thames"/>
          <w:color w:val="0063A4"/>
          <w:sz w:val="28"/>
          <w:szCs w:val="28"/>
        </w:rPr>
        <w:t>/</w:t>
      </w:r>
      <w:r>
        <w:rPr>
          <w:rFonts w:ascii="XO Thames" w:hAnsi="XO Thames"/>
          <w:color w:val="000000"/>
          <w:sz w:val="28"/>
          <w:szCs w:val="28"/>
        </w:rPr>
        <w:t xml:space="preserve">, закупка № 32413861173, на официальном сайте по закупкам атомной отрасли </w:t>
      </w:r>
      <w:hyperlink r:id="rId4">
        <w:r>
          <w:rPr>
            <w:rFonts w:ascii="XO Thames" w:hAnsi="XO Thames"/>
            <w:color w:val="0063A4"/>
            <w:sz w:val="28"/>
            <w:szCs w:val="28"/>
          </w:rPr>
          <w:t>http://zakupki.rosatom.ru/</w:t>
        </w:r>
      </w:hyperlink>
      <w:r>
        <w:rPr>
          <w:rFonts w:ascii="XO Thames" w:hAnsi="XO Thames"/>
          <w:color w:val="000000"/>
          <w:sz w:val="28"/>
          <w:szCs w:val="28"/>
        </w:rPr>
        <w:t>, закупка № 13461,</w:t>
      </w:r>
      <w:r>
        <w:rPr>
          <w:rFonts w:ascii="XO Thames" w:hAnsi="XO Thames"/>
          <w:color w:val="FF0000"/>
          <w:sz w:val="28"/>
          <w:szCs w:val="28"/>
        </w:rPr>
        <w:t xml:space="preserve"> </w:t>
      </w:r>
      <w:r>
        <w:rPr>
          <w:rFonts w:ascii="XO Thames" w:hAnsi="XO Thames"/>
          <w:color w:val="000000"/>
          <w:sz w:val="28"/>
          <w:szCs w:val="28"/>
        </w:rPr>
        <w:t>на (</w:t>
      </w:r>
      <w:r>
        <w:rPr>
          <w:rFonts w:ascii="XO Thames" w:hAnsi="XO Thames"/>
          <w:b/>
          <w:i w:val="false"/>
          <w:strike w:val="false"/>
          <w:dstrike w:val="false"/>
          <w:color w:val="000000"/>
          <w:sz w:val="28"/>
          <w:szCs w:val="28"/>
        </w:rPr>
        <w:t xml:space="preserve">ЭТП) АКЦИОНЕРНОЕ ОБЩЕСТВО «ЭЛЕКТРОННЫЕ ТОРГОВЫЕ СИСТЕМЫ» в сети «Интернет» по адресу: </w:t>
      </w:r>
      <w:hyperlink r:id="rId5">
        <w:r>
          <w:rPr>
            <w:rFonts w:ascii="XO Thames" w:hAnsi="XO Thames"/>
            <w:b/>
            <w:i w:val="false"/>
            <w:strike w:val="false"/>
            <w:dstrike w:val="false"/>
            <w:color w:val="000000"/>
            <w:sz w:val="28"/>
            <w:szCs w:val="28"/>
          </w:rPr>
          <w:t>https://www.etp-ets.ru/</w:t>
        </w:r>
      </w:hyperlink>
      <w:r>
        <w:rPr>
          <w:rFonts w:ascii="XO Thames" w:hAnsi="XO Thames"/>
          <w:b/>
          <w:i w:val="false"/>
          <w:strike w:val="false"/>
          <w:dstrike w:val="false"/>
          <w:color w:val="000000"/>
          <w:sz w:val="28"/>
          <w:szCs w:val="28"/>
        </w:rPr>
        <w:t xml:space="preserve"> №</w:t>
      </w:r>
      <w:r>
        <w:rPr>
          <w:rFonts w:ascii="XO Thames" w:hAnsi="XO Thames"/>
          <w:b w:val="false"/>
          <w:i w:val="false"/>
          <w:strike w:val="false"/>
          <w:dstrike w:val="false"/>
          <w:color w:val="000000"/>
          <w:sz w:val="28"/>
          <w:szCs w:val="28"/>
        </w:rPr>
        <w:t xml:space="preserve"> 32413861173</w:t>
      </w:r>
    </w:p>
    <w:p>
      <w:pPr>
        <w:pStyle w:val="Normal"/>
        <w:widowControl w:val="false"/>
        <w:ind w:left="0" w:right="0" w:hanging="0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widowControl w:val="false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Заседание закупочной комиссии проводится в очной форме в 14:30:00 (время московское) «12» августа 2024 года, по адресу: Смоленская область, г. Десногорск,   3-й микрорайон, здание ИАЦ. </w:t>
      </w:r>
    </w:p>
    <w:p>
      <w:pPr>
        <w:pStyle w:val="Normal"/>
        <w:numPr>
          <w:ilvl w:val="0"/>
          <w:numId w:val="0"/>
        </w:numPr>
        <w:ind w:left="0" w:right="0" w:hanging="0"/>
        <w:outlineLvl w:val="0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b/>
          <w:color w:val="000000"/>
          <w:sz w:val="28"/>
          <w:szCs w:val="28"/>
        </w:rPr>
        <w:t xml:space="preserve">В заседании принимают участие: </w:t>
      </w:r>
    </w:p>
    <w:tbl>
      <w:tblPr>
        <w:tblStyle w:val="Style_6"/>
        <w:tblW w:w="100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7476"/>
      </w:tblGrid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center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pacing w:val="0"/>
                <w:kern w:val="0"/>
                <w:sz w:val="28"/>
                <w:szCs w:val="28"/>
              </w:rPr>
              <w:t>ФИО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center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pacing w:val="0"/>
                <w:kern w:val="0"/>
                <w:sz w:val="28"/>
                <w:szCs w:val="28"/>
              </w:rPr>
              <w:t>Должность</w:t>
            </w:r>
          </w:p>
        </w:tc>
      </w:tr>
      <w:tr>
        <w:trPr/>
        <w:tc>
          <w:tcPr>
            <w:tcW w:w="10023" w:type="dxa"/>
            <w:gridSpan w:val="2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pacing w:val="0"/>
                <w:kern w:val="0"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Туманов А.П.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Генеральный директор</w:t>
            </w:r>
          </w:p>
        </w:tc>
      </w:tr>
      <w:tr>
        <w:trPr/>
        <w:tc>
          <w:tcPr>
            <w:tcW w:w="10023" w:type="dxa"/>
            <w:gridSpan w:val="2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pacing w:val="0"/>
                <w:kern w:val="0"/>
                <w:sz w:val="28"/>
                <w:szCs w:val="28"/>
              </w:rPr>
              <w:t>Заместители Председателя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Артеменков А.А.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pacing w:val="0"/>
                <w:kern w:val="0"/>
                <w:sz w:val="28"/>
                <w:szCs w:val="28"/>
              </w:rPr>
              <w:t>Чуприн С.В.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pacing w:val="0"/>
                <w:kern w:val="0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pacing w:val="0"/>
                <w:kern w:val="0"/>
                <w:sz w:val="28"/>
                <w:szCs w:val="28"/>
              </w:rPr>
              <w:t>Горецкая М.Н.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pacing w:val="0"/>
                <w:kern w:val="0"/>
                <w:sz w:val="28"/>
                <w:szCs w:val="28"/>
              </w:rPr>
              <w:t>Заместитель Генерального директора по общественному питанию</w:t>
            </w:r>
          </w:p>
        </w:tc>
      </w:tr>
      <w:tr>
        <w:trPr/>
        <w:tc>
          <w:tcPr>
            <w:tcW w:w="10023" w:type="dxa"/>
            <w:gridSpan w:val="2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pacing w:val="0"/>
                <w:kern w:val="0"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Климова Н. А.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Товаровед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Киселёва Е. Е.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Начальник ПЭО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Сафронова О. Н.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Начальник ОМТС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Крамар О. Н.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Ведущий инженер по снабжению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Лебедева О.Н.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Руководитель ГОЗ</w:t>
            </w:r>
          </w:p>
        </w:tc>
      </w:tr>
      <w:tr>
        <w:trPr/>
        <w:tc>
          <w:tcPr>
            <w:tcW w:w="10023" w:type="dxa"/>
            <w:gridSpan w:val="2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pacing w:val="0"/>
                <w:kern w:val="0"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0"/>
                <w:kern w:val="0"/>
                <w:sz w:val="28"/>
                <w:szCs w:val="28"/>
              </w:rPr>
              <w:t>Скачкова О.В.</w:t>
            </w:r>
          </w:p>
        </w:tc>
        <w:tc>
          <w:tcPr>
            <w:tcW w:w="747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spacing w:val="0"/>
                <w:kern w:val="0"/>
                <w:sz w:val="28"/>
                <w:szCs w:val="28"/>
              </w:rPr>
              <w:t>Специалист ГОЗ</w:t>
            </w:r>
          </w:p>
        </w:tc>
      </w:tr>
    </w:tbl>
    <w:p>
      <w:pPr>
        <w:pStyle w:val="Normal"/>
        <w:keepLines w:val="false"/>
        <w:jc w:val="left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keepLines w:val="false"/>
        <w:widowControl w:val="false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Заседание проводится в присутствии 9 из 11членов закупочной комиссии. Кворум имеется. </w:t>
      </w:r>
    </w:p>
    <w:p>
      <w:pPr>
        <w:pStyle w:val="Normal"/>
        <w:spacing w:beforeAutospacing="1" w:afterAutospacing="1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1. Согласно результатам открытия доступа к первым частям заявок на участие в процедуре закупки «08» августа 2024 года, при подаче заявки на участие в процедуре закупки посредством программных и технических средств (</w:t>
      </w:r>
      <w:r>
        <w:rPr>
          <w:rFonts w:ascii="XO Thames" w:hAnsi="XO Thames"/>
          <w:b/>
          <w:i w:val="false"/>
          <w:strike w:val="false"/>
          <w:dstrike w:val="false"/>
          <w:color w:val="000000"/>
          <w:sz w:val="28"/>
          <w:szCs w:val="28"/>
        </w:rPr>
        <w:t>ЭТП) АКЦИОНЕРНОЕ ОБЩЕСТВО «ЭЛЕКТРОННЫЕ ТОРГОВЫЕ СИСТЕМЫ»</w:t>
      </w:r>
      <w:r>
        <w:rPr>
          <w:rFonts w:ascii="XO Thames" w:hAnsi="XO Thames"/>
          <w:color w:val="000000"/>
          <w:sz w:val="28"/>
          <w:szCs w:val="28"/>
        </w:rPr>
        <w:t xml:space="preserve"> в рамках данной процедуры закупки участникам процедуры закупки присвоены следующие идентификационные номера:</w:t>
      </w:r>
    </w:p>
    <w:p>
      <w:pPr>
        <w:pStyle w:val="Normal"/>
        <w:spacing w:beforeAutospacing="1" w:afterAutospacing="1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- 32413861173-1-1;</w:t>
      </w:r>
    </w:p>
    <w:p>
      <w:pPr>
        <w:pStyle w:val="Normal"/>
        <w:spacing w:beforeAutospacing="1" w:afterAutospacing="1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- 32413861173-1-2.</w:t>
      </w:r>
    </w:p>
    <w:tbl>
      <w:tblPr>
        <w:tblStyle w:val="Style_4"/>
        <w:tblW w:w="100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5"/>
      </w:tblGrid>
      <w:tr>
        <w:trPr/>
        <w:tc>
          <w:tcPr>
            <w:tcW w:w="100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rPr>
                <w:rFonts w:ascii="XO Thames" w:hAnsi="XO Thames"/>
                <w:b/>
                <w:i/>
                <w:i/>
                <w:sz w:val="28"/>
                <w:szCs w:val="28"/>
              </w:rPr>
            </w:pPr>
            <w:r>
              <w:rPr>
                <w:rFonts w:ascii="XO Thames" w:hAnsi="XO Thames"/>
                <w:b/>
                <w:i/>
                <w:sz w:val="28"/>
                <w:szCs w:val="28"/>
              </w:rPr>
            </w:r>
          </w:p>
        </w:tc>
      </w:tr>
    </w:tbl>
    <w:p>
      <w:pPr>
        <w:pStyle w:val="Normal"/>
        <w:ind w:left="0" w:right="0" w:hanging="0"/>
        <w:jc w:val="left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widowControl w:val="false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2. Согласно протоколу заседания закупочной комиссии по рассмотрению первых частей заявок от «08» августа 2024 № 2264 закупочной комиссией были приняты следующие решения: </w:t>
      </w:r>
    </w:p>
    <w:p>
      <w:pPr>
        <w:pStyle w:val="Normal"/>
        <w:spacing w:beforeAutospacing="1" w:afterAutospacing="1"/>
        <w:ind w:left="0" w:right="0" w:hanging="0"/>
        <w:jc w:val="left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2.1. Допустить к дальнейшему участию в  закупке участника процедуры закупки Участника 32413861173-1-1, отвечающего требованиям закупочной документации и подавшего заявку на участие в закупке, отвечающую требованиям закупочной документации,  Участника 32413861173-1-2, отвечающего требованиям закупочной документации и подавшего заявку на участие в закупке, отвечающую требованиям закупочной документации.</w:t>
      </w:r>
    </w:p>
    <w:p>
      <w:pPr>
        <w:pStyle w:val="Normal"/>
        <w:widowControl w:val="false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3.По результатам рассмотрения вторых частей заявок на участие в процедуре закупки закупочной комиссией были приняты следующие решения: </w:t>
      </w:r>
    </w:p>
    <w:p>
      <w:pPr>
        <w:pStyle w:val="Normal"/>
        <w:spacing w:beforeAutospacing="1" w:afterAutospacing="1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3.1. Признать соответствующими требованиям закупочной документации следующих участников процедуры закупки и их заявки в целом:</w:t>
      </w:r>
    </w:p>
    <w:p>
      <w:pPr>
        <w:pStyle w:val="Normal"/>
        <w:spacing w:beforeAutospacing="1" w:afterAutospacing="1"/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3</w:t>
      </w:r>
      <w:bookmarkStart w:id="0" w:name="_GoBack"/>
      <w:bookmarkEnd w:id="0"/>
      <w:r>
        <w:rPr>
          <w:rFonts w:ascii="XO Thames" w:hAnsi="XO Thames"/>
          <w:color w:val="000000"/>
          <w:sz w:val="28"/>
          <w:szCs w:val="28"/>
        </w:rPr>
        <w:t>.1.1. Участник 1 ООО «СМК»</w:t>
      </w:r>
    </w:p>
    <w:p>
      <w:pPr>
        <w:pStyle w:val="Normal"/>
        <w:ind w:left="0" w:right="0" w:hanging="0"/>
        <w:jc w:val="left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Результаты голосования членов закупочной комиссии: </w:t>
        <w:br/>
        <w:t>«за» - 9 голоса/-ов: Туманов А.П., Артеменков А.А.,,</w:t>
      </w:r>
      <w:r>
        <w:rPr>
          <w:rFonts w:ascii="XO Thames" w:hAnsi="XO Thames"/>
          <w:sz w:val="28"/>
          <w:szCs w:val="28"/>
        </w:rPr>
        <w:t>Чуприн С.В., Горецкая М.Н.,  Киселёва Е.Е., Сафронова О.Н. Климова Н.А., Крамар О.Н., Лебедева О.Н.</w:t>
      </w:r>
      <w:r>
        <w:rPr>
          <w:rFonts w:ascii="XO Thames" w:hAnsi="XO Thames"/>
          <w:color w:val="000000"/>
          <w:sz w:val="28"/>
          <w:szCs w:val="28"/>
        </w:rPr>
        <w:br/>
        <w:t>«против» - 0 голоса/-ов;</w:t>
        <w:br/>
        <w:t xml:space="preserve">«воздержался» - 0 голоса/-ов. </w:t>
      </w:r>
    </w:p>
    <w:p>
      <w:pPr>
        <w:pStyle w:val="Normal"/>
        <w:ind w:left="0" w:right="0" w:hanging="0"/>
        <w:jc w:val="left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keepLines/>
        <w:tabs>
          <w:tab w:val="clear" w:pos="708"/>
          <w:tab w:val="center" w:pos="4677" w:leader="none"/>
          <w:tab w:val="right" w:pos="9355" w:leader="none"/>
        </w:tabs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3.1.2. Участник 2 ООО «АлтайЭкоЛюкс»</w:t>
      </w:r>
    </w:p>
    <w:p>
      <w:pPr>
        <w:pStyle w:val="Normal"/>
        <w:tabs>
          <w:tab w:val="clear" w:pos="708"/>
          <w:tab w:val="center" w:pos="4677" w:leader="none"/>
          <w:tab w:val="right" w:pos="9355" w:leader="none"/>
        </w:tabs>
        <w:ind w:left="0" w:right="0" w:hanging="0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ind w:left="0" w:right="0" w:hanging="0"/>
        <w:jc w:val="lef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Результаты голосования членов закупочной комиссии: </w:t>
        <w:br/>
        <w:t>«за» - 9 голоса/-ов: Туманов А.П., Артеменков А.А.,, Чуприн С.В., Горецкая М.Н.,  Киселёва Е.Е.,  Сафронова О.Н.,Климова Н.А., Крамар О.Н., Лебедева О.Н.</w:t>
        <w:br/>
        <w:t>«против» - 0 голоса/-ов;</w:t>
        <w:br/>
        <w:t xml:space="preserve">«воздержался» - 0 голоса/-ов. </w:t>
      </w:r>
    </w:p>
    <w:p>
      <w:pPr>
        <w:pStyle w:val="Normal"/>
        <w:keepLines/>
        <w:tabs>
          <w:tab w:val="clear" w:pos="708"/>
          <w:tab w:val="center" w:pos="4677" w:leader="none"/>
          <w:tab w:val="right" w:pos="9355" w:leader="none"/>
        </w:tabs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ab/>
      </w:r>
    </w:p>
    <w:p>
      <w:pPr>
        <w:pStyle w:val="Normal"/>
        <w:tabs>
          <w:tab w:val="clear" w:pos="708"/>
          <w:tab w:val="center" w:pos="4677" w:leader="none"/>
          <w:tab w:val="right" w:pos="9355" w:leader="none"/>
        </w:tabs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 </w:t>
      </w:r>
      <w:r>
        <w:rPr>
          <w:rFonts w:ascii="XO Thames" w:hAnsi="XO Thames"/>
          <w:color w:val="000000"/>
          <w:sz w:val="28"/>
          <w:szCs w:val="28"/>
        </w:rPr>
        <w:t>4. 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закупки количество баллов, присужденных закупочной комиссией каждой заявке составляют:</w:t>
      </w:r>
    </w:p>
    <w:p>
      <w:pPr>
        <w:pStyle w:val="Normal"/>
        <w:tabs>
          <w:tab w:val="clear" w:pos="708"/>
          <w:tab w:val="center" w:pos="4677" w:leader="none"/>
          <w:tab w:val="right" w:pos="9355" w:leader="none"/>
        </w:tabs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   </w:t>
      </w:r>
    </w:p>
    <w:tbl>
      <w:tblPr>
        <w:tblW w:w="989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3"/>
        <w:gridCol w:w="1149"/>
        <w:gridCol w:w="2176"/>
        <w:gridCol w:w="820"/>
        <w:gridCol w:w="3524"/>
      </w:tblGrid>
      <w:tr>
        <w:trPr>
          <w:trHeight w:val="462" w:hRule="atLeast"/>
        </w:trPr>
        <w:tc>
          <w:tcPr>
            <w:tcW w:w="22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76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>
        <w:trPr/>
        <w:tc>
          <w:tcPr>
            <w:tcW w:w="222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</w:r>
          </w:p>
        </w:tc>
        <w:tc>
          <w:tcPr>
            <w:tcW w:w="3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 xml:space="preserve">ООО </w:t>
            </w:r>
            <w:r>
              <w:rPr>
                <w:rFonts w:ascii="XO Thames" w:hAnsi="XO Thames"/>
                <w:b/>
                <w:bCs/>
                <w:sz w:val="28"/>
                <w:szCs w:val="28"/>
              </w:rPr>
              <w:t xml:space="preserve">«СМК» </w:t>
              <w:br/>
            </w:r>
            <w:r>
              <w:rPr>
                <w:rFonts w:ascii="XO Thames" w:hAnsi="XO Thames"/>
                <w:sz w:val="28"/>
                <w:szCs w:val="28"/>
              </w:rPr>
              <w:t xml:space="preserve">Цена заявки: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7 087 009 (Семь миллионов восемьдесят семь тысяч девять) рублей 99 копеек, включая НДС</w:t>
            </w:r>
          </w:p>
        </w:tc>
        <w:tc>
          <w:tcPr>
            <w:tcW w:w="4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 xml:space="preserve">ООО "АлтайЭкоЛюкс»" </w:t>
              <w:br/>
            </w:r>
            <w:r>
              <w:rPr>
                <w:rFonts w:ascii="XO Thames" w:hAnsi="XO Thames"/>
                <w:sz w:val="28"/>
                <w:szCs w:val="28"/>
              </w:rPr>
              <w:t xml:space="preserve">Цена заявки: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6 900 000 (Шесть миллионов девятьсот тысяч ) рублей 00 копеек, включая НДС</w:t>
            </w:r>
          </w:p>
          <w:p>
            <w:pPr>
              <w:pStyle w:val="Normal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</w:r>
          </w:p>
        </w:tc>
      </w:tr>
      <w:tr>
        <w:trPr/>
        <w:tc>
          <w:tcPr>
            <w:tcW w:w="222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баллы</w:t>
            </w:r>
          </w:p>
        </w:tc>
        <w:tc>
          <w:tcPr>
            <w:tcW w:w="2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с учетом веса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баллы</w:t>
            </w:r>
          </w:p>
        </w:tc>
        <w:tc>
          <w:tcPr>
            <w:tcW w:w="3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с учетом веса</w:t>
            </w:r>
          </w:p>
        </w:tc>
      </w:tr>
      <w:tr>
        <w:trPr>
          <w:trHeight w:val="467" w:hRule="atLeast"/>
        </w:trPr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Цена договора (95,00% )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97,36</w:t>
            </w:r>
          </w:p>
        </w:tc>
        <w:tc>
          <w:tcPr>
            <w:tcW w:w="2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92,493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100,00</w:t>
            </w:r>
          </w:p>
        </w:tc>
        <w:tc>
          <w:tcPr>
            <w:tcW w:w="3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95,00</w:t>
            </w:r>
          </w:p>
        </w:tc>
      </w:tr>
      <w:tr>
        <w:trPr/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Квалификация участника (5,00% )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76,46</w:t>
            </w:r>
          </w:p>
        </w:tc>
        <w:tc>
          <w:tcPr>
            <w:tcW w:w="2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3,823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100,00</w:t>
            </w:r>
          </w:p>
        </w:tc>
        <w:tc>
          <w:tcPr>
            <w:tcW w:w="3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5,00</w:t>
            </w:r>
          </w:p>
        </w:tc>
      </w:tr>
      <w:tr>
        <w:trPr/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 xml:space="preserve">Рейтинг </w:t>
            </w:r>
          </w:p>
          <w:p>
            <w:pPr>
              <w:pStyle w:val="Normal"/>
              <w:keepLines w:val="false"/>
              <w:widowControl w:val="false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>(итоговый балл)</w:t>
            </w:r>
          </w:p>
        </w:tc>
        <w:tc>
          <w:tcPr>
            <w:tcW w:w="3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>96,316</w:t>
            </w:r>
          </w:p>
        </w:tc>
        <w:tc>
          <w:tcPr>
            <w:tcW w:w="4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>100,00</w:t>
            </w:r>
          </w:p>
        </w:tc>
      </w:tr>
      <w:tr>
        <w:trPr/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Значение деловой репутации (балл)</w:t>
            </w:r>
          </w:p>
        </w:tc>
        <w:tc>
          <w:tcPr>
            <w:tcW w:w="3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0,00</w:t>
            </w:r>
          </w:p>
        </w:tc>
        <w:tc>
          <w:tcPr>
            <w:tcW w:w="4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0,00</w:t>
            </w:r>
          </w:p>
        </w:tc>
      </w:tr>
      <w:tr>
        <w:trPr/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>Итоговый рейтинг заявки (итоговый балл)</w:t>
            </w:r>
          </w:p>
        </w:tc>
        <w:tc>
          <w:tcPr>
            <w:tcW w:w="3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>96,316</w:t>
            </w:r>
          </w:p>
        </w:tc>
        <w:tc>
          <w:tcPr>
            <w:tcW w:w="4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>100,00</w:t>
            </w:r>
          </w:p>
        </w:tc>
      </w:tr>
    </w:tbl>
    <w:p>
      <w:pPr>
        <w:pStyle w:val="Normal"/>
        <w:tabs>
          <w:tab w:val="clear" w:pos="708"/>
          <w:tab w:val="center" w:pos="4677" w:leader="none"/>
          <w:tab w:val="right" w:pos="9355" w:leader="none"/>
        </w:tabs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 </w:t>
      </w:r>
    </w:p>
    <w:p>
      <w:pPr>
        <w:pStyle w:val="Normal"/>
        <w:ind w:left="0" w:right="0" w:hanging="0"/>
        <w:jc w:val="lef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Результаты голосования членов закупочной комиссии: </w:t>
        <w:br/>
        <w:t>«за» - 9 голоса/-ов: Туманов А.П., Артеменков А.А.,, Чуприн С.В., Горецкая М.Н.,  Киселёва Е.Е.,  Сафронова О.Н.,Климова Н.А., Крамар О.Н., Лебедева О.Н.</w:t>
        <w:br/>
        <w:t>«против» - 0 голоса/-ов;</w:t>
        <w:br/>
        <w:t xml:space="preserve">«воздержался» - 0 голоса/-ов. 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ind w:left="0" w:right="0" w:hanging="0"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spacing w:lineRule="auto" w:line="228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5. На основании результатов оценки и сопоставления заявок на участие закупке каждой заявке, исходя из подсчитанных баллов, присвоены следующие места (заявка на участие в закупке, которая оценена наибольшим количеством баллов, присвоено первое место):</w:t>
      </w:r>
    </w:p>
    <w:tbl>
      <w:tblPr>
        <w:tblW w:w="103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"/>
        <w:gridCol w:w="1177"/>
        <w:gridCol w:w="4469"/>
        <w:gridCol w:w="3814"/>
      </w:tblGrid>
      <w:tr>
        <w:trPr/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>Место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4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b/>
                <w:sz w:val="28"/>
                <w:szCs w:val="28"/>
              </w:rPr>
              <w:t xml:space="preserve">Сведения об окончательном предложении участка закупки </w:t>
            </w:r>
          </w:p>
        </w:tc>
      </w:tr>
      <w:tr>
        <w:trPr/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1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32413861173-1-2</w:t>
            </w:r>
          </w:p>
        </w:tc>
        <w:tc>
          <w:tcPr>
            <w:tcW w:w="4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 xml:space="preserve">Общество с ограниченной ответственностью </w:t>
            </w:r>
            <w:r>
              <w:rPr>
                <w:rFonts w:ascii="XO Thames" w:hAnsi="XO Thames"/>
                <w:b/>
                <w:sz w:val="28"/>
                <w:szCs w:val="28"/>
              </w:rPr>
              <w:t xml:space="preserve"> </w:t>
            </w:r>
            <w:r>
              <w:rPr>
                <w:rFonts w:ascii="XO Thames" w:hAnsi="XO Thames"/>
                <w:sz w:val="28"/>
                <w:szCs w:val="28"/>
              </w:rPr>
              <w:t>«</w:t>
            </w:r>
            <w:r>
              <w:rPr>
                <w:rFonts w:ascii="XO Thames" w:hAnsi="XO Thames"/>
                <w:b w:val="false"/>
                <w:sz w:val="28"/>
                <w:szCs w:val="28"/>
              </w:rPr>
              <w:t>АлтайЭкоЛюкс</w:t>
            </w:r>
            <w:r>
              <w:rPr>
                <w:rFonts w:ascii="XO Thames" w:hAnsi="XO Thames"/>
                <w:sz w:val="28"/>
                <w:szCs w:val="28"/>
              </w:rPr>
              <w:t xml:space="preserve">» </w:t>
              <w:br/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6 900 000 (шесть миллионов девятьсот тысяч) рублей включая НДС</w:t>
            </w:r>
          </w:p>
        </w:tc>
      </w:tr>
      <w:tr>
        <w:trPr/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2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32413861173-1-1</w:t>
            </w:r>
          </w:p>
        </w:tc>
        <w:tc>
          <w:tcPr>
            <w:tcW w:w="4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 xml:space="preserve">Общество с ограниченной ответственностью </w:t>
            </w:r>
            <w:r>
              <w:rPr>
                <w:rFonts w:ascii="XO Thames" w:hAnsi="XO Thames"/>
                <w:b w:val="false"/>
                <w:sz w:val="28"/>
                <w:szCs w:val="28"/>
              </w:rPr>
              <w:t>«СМК»</w: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7 087 009 (Семь миллионов восемьдесят семь тысяч девять) рубля 99 копеек, включая НДС</w:t>
            </w:r>
          </w:p>
        </w:tc>
      </w:tr>
    </w:tbl>
    <w:p>
      <w:pPr>
        <w:pStyle w:val="Normal"/>
        <w:keepLines w:val="false"/>
        <w:jc w:val="lef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spacing w:lineRule="auto" w:line="228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6. По результатам оценки и сопоставления заявок на участие в закупке закупочной комиссией принято решение признать победителем закупки  </w:t>
      </w:r>
      <w:r>
        <w:rPr>
          <w:rFonts w:ascii="XO Thames" w:hAnsi="XO Thames"/>
          <w:b/>
          <w:sz w:val="28"/>
          <w:szCs w:val="28"/>
        </w:rPr>
        <w:t>Общество с ограниченной ответственностью АлтайЭкоЛюкс»</w:t>
      </w:r>
      <w:r>
        <w:rPr>
          <w:rFonts w:ascii="XO Thames" w:hAnsi="XO Thames"/>
          <w:sz w:val="28"/>
          <w:szCs w:val="28"/>
        </w:rPr>
        <w:t xml:space="preserve"> ИНН: 2225184777; КПП: 222201001. Адрес: 656067, край Алтайский ,г. Барнаул, а/я 5099 с ценой заявки 6 900 000 (Шесть миллионов девятьсот тысяч 00 ) рубль 00 копеек, включая НДС</w:t>
      </w:r>
    </w:p>
    <w:p>
      <w:pPr>
        <w:pStyle w:val="Normal"/>
        <w:spacing w:lineRule="auto" w:line="228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ind w:left="0" w:right="0" w:hanging="0"/>
        <w:jc w:val="lef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Результаты голосования членов закупочной комиссии: </w:t>
        <w:br/>
        <w:t>«за» - 9 голоса/-ов: Туманов А.П., Артеменков А.А.,,Чуприн С.В., Горецкая М.Н.,  Киселёва Е.Е.,  Сафронова О.Н.,Климова Н.А., Крамар О.Н., Лебедева О.Н.</w:t>
        <w:br/>
        <w:t>«против» - 0 голоса/-ов;</w:t>
        <w:br/>
        <w:t xml:space="preserve">«воздержался» - 0 голоса/-ов. </w:t>
      </w:r>
    </w:p>
    <w:p>
      <w:pPr>
        <w:pStyle w:val="Normal"/>
        <w:spacing w:lineRule="auto" w:line="228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ind w:left="0" w:right="0" w:hanging="0"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b/>
          <w:color w:val="000000"/>
          <w:sz w:val="28"/>
          <w:szCs w:val="28"/>
        </w:rPr>
        <w:t>Закупочная комиссия:</w:t>
      </w:r>
      <w:r>
        <w:rPr>
          <w:rFonts w:ascii="XO Thames" w:hAnsi="XO Thames"/>
          <w:color w:val="000000"/>
          <w:sz w:val="28"/>
          <w:szCs w:val="28"/>
        </w:rPr>
        <w:t xml:space="preserve">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Член закупочной комиссии, подписавший настоящий протокол, руководствуясь </w:t>
      </w:r>
      <w:r>
        <w:rPr>
          <w:rFonts w:ascii="XO Thames" w:hAnsi="XO Thames"/>
          <w:sz w:val="28"/>
          <w:szCs w:val="28"/>
        </w:rPr>
        <w:t xml:space="preserve">положением о закупочной комиссии (Приложение 4 ЕОСЗ): 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284" w:leader="none"/>
        </w:tabs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284" w:leader="none"/>
        </w:tabs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заявляет об отсутствии личной заинтересованности в исходе процедуры закупки;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284" w:leader="none"/>
        </w:tabs>
        <w:ind w:left="0" w:right="0" w:hanging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2"/>
        </w:numPr>
        <w:ind w:left="284" w:right="0" w:hanging="284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не допускать во время проведения процедуры закупки предоставления сведений о предложениях участников процедуры закупки, </w:t>
      </w:r>
      <w:r>
        <w:rPr>
          <w:rFonts w:ascii="XO Thames" w:hAnsi="XO Thames"/>
          <w:sz w:val="28"/>
          <w:szCs w:val="28"/>
        </w:rPr>
        <w:t>содержании экспертных заключений,</w:t>
      </w:r>
      <w:r>
        <w:rPr>
          <w:rFonts w:ascii="XO Thames" w:hAnsi="XO Thames"/>
          <w:color w:val="000000"/>
          <w:sz w:val="28"/>
          <w:szCs w:val="28"/>
        </w:rPr>
        <w:t xml:space="preserve"> ходе проведения процедуры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</w:t>
      </w:r>
      <w:r>
        <w:rPr>
          <w:rFonts w:ascii="XO Thames" w:hAnsi="XO Thames"/>
          <w:sz w:val="28"/>
          <w:szCs w:val="28"/>
        </w:rPr>
        <w:t>установленных ЕОСЗ,</w:t>
      </w:r>
      <w:r>
        <w:rPr>
          <w:rFonts w:ascii="XO Thames" w:hAnsi="XO Thames"/>
          <w:color w:val="000000"/>
          <w:sz w:val="28"/>
          <w:szCs w:val="28"/>
        </w:rPr>
        <w:t xml:space="preserve">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процедуре закупки ;</w:t>
      </w:r>
    </w:p>
    <w:p>
      <w:pPr>
        <w:pStyle w:val="Normal"/>
        <w:keepLines w:val="false"/>
        <w:numPr>
          <w:ilvl w:val="0"/>
          <w:numId w:val="2"/>
        </w:numPr>
        <w:ind w:left="284" w:right="0" w:hanging="284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не координировать деятельность участников в рамках процедуры закупки иначе, чем это предусмотрено законодательством Российской Федерации, ЕОСЗ и условиями проведения процедуры закупки;</w:t>
      </w:r>
    </w:p>
    <w:p>
      <w:pPr>
        <w:pStyle w:val="Normal"/>
        <w:keepLines w:val="false"/>
        <w:numPr>
          <w:ilvl w:val="0"/>
          <w:numId w:val="2"/>
        </w:numPr>
        <w:ind w:left="284" w:right="0" w:hanging="284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не проводить переговоров с участниками процедуры закупки </w:t>
      </w:r>
      <w:r>
        <w:rPr>
          <w:rFonts w:ascii="XO Thames" w:hAnsi="XO Thames"/>
          <w:sz w:val="28"/>
          <w:szCs w:val="28"/>
        </w:rPr>
        <w:t>по вопросам, относящимся к проводимому аукциону</w:t>
      </w:r>
      <w:r>
        <w:rPr>
          <w:rFonts w:ascii="XO Thames" w:hAnsi="XO Thames"/>
          <w:color w:val="000000"/>
          <w:sz w:val="28"/>
          <w:szCs w:val="28"/>
        </w:rPr>
        <w:t>, кроме случаев, прямо предусмотренных условиями проведения процедуры закупки.</w:t>
      </w:r>
    </w:p>
    <w:p>
      <w:pPr>
        <w:pStyle w:val="Normal"/>
        <w:keepLines w:val="false"/>
        <w:jc w:val="left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</w:r>
    </w:p>
    <w:p>
      <w:pPr>
        <w:pStyle w:val="Normal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sectPr>
      <w:footerReference w:type="default" r:id="rId6"/>
      <w:type w:val="nextPage"/>
      <w:pgSz w:w="11906" w:h="16838"/>
      <w:pgMar w:left="1134" w:right="737" w:gutter="0" w:header="0" w:top="568" w:footer="708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Segoe UI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keepLines w:val="false"/>
      <w:widowControl w:val="false"/>
      <w:numPr>
        <w:ilvl w:val="0"/>
        <w:numId w:val="0"/>
      </w:numPr>
      <w:spacing w:before="0" w:after="0"/>
      <w:ind w:left="0" w:right="0" w:hanging="0"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 2269 от «12»августа 2024 заседания закупочной комиссии по подведению итогов по запросу предложений  на Замену (монтаж) секционных и сдвижных ворот на объектах и территориях ООО «Смоленская АЭС-Сервис»</w:t>
    </w:r>
  </w:p>
  <w:p>
    <w:pPr>
      <w:pStyle w:val="Style19"/>
      <w:keepLines w:val="false"/>
      <w:widowControl w:val="false"/>
      <w:numPr>
        <w:ilvl w:val="0"/>
        <w:numId w:val="0"/>
      </w:numPr>
      <w:spacing w:before="0" w:after="0"/>
      <w:ind w:left="0" w:right="0" w:hanging="0"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t xml:space="preserve">(ГПЗ 20506-124) </w:t>
    </w:r>
  </w:p>
  <w:p>
    <w:pPr>
      <w:pStyle w:val="Style27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PAGE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5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NUMPAGES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5</w:t>
    </w:r>
    <w:r>
      <w:rPr>
        <w:sz w:val="16"/>
        <w:rFonts w:ascii="Times New Roman" w:hAnsi="Times New Roman"/>
      </w:rPr>
      <w:fldChar w:fldCharType="end"/>
    </w:r>
  </w:p>
  <w:p>
    <w:pPr>
      <w:pStyle w:val="Style27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ahoma" w:cs="Noto Sans Devanagari" w:asciiTheme="minorAscii" w:hAnsiTheme="minorHAnsi"/>
        <w:color w:val="000000"/>
        <w:sz w:val="22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keepLines/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Arial" w:hAnsi="Arial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Tahoma" w:cs="Noto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Tahoma" w:cs="Noto Sans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Tahoma" w:cs="Noto Sans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Tahoma" w:cs="Noto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NormalWeb">
    <w:name w:val="Normal (Web)"/>
    <w:link w:val="NormalWeb1"/>
    <w:qFormat/>
    <w:rPr>
      <w:rFonts w:ascii="Times New Roman" w:hAnsi="Times New Roman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Caption">
    <w:name w:val="Caption"/>
    <w:qFormat/>
    <w:rPr>
      <w:rFonts w:ascii="PT Astra Serif" w:hAnsi="PT Astra Serif"/>
      <w:i/>
      <w:sz w:val="24"/>
    </w:rPr>
  </w:style>
  <w:style w:type="character" w:styleId="Style9">
    <w:name w:val="Основной текст Знак"/>
    <w:basedOn w:val="DefaultParagraphFont"/>
    <w:link w:val="Style23"/>
    <w:qFormat/>
    <w:rPr>
      <w:rFonts w:ascii="Arial" w:hAnsi="Arial"/>
      <w:sz w:val="24"/>
    </w:rPr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">
    <w:name w:val="Heading 3"/>
    <w:qFormat/>
    <w:rPr>
      <w:rFonts w:ascii="XO Thames" w:hAnsi="XO Thames"/>
      <w:b/>
      <w:sz w:val="26"/>
    </w:rPr>
  </w:style>
  <w:style w:type="character" w:styleId="Style10">
    <w:name w:val="Заголовок таблицы"/>
    <w:basedOn w:val="Style11"/>
    <w:link w:val="Style25"/>
    <w:qFormat/>
    <w:rPr>
      <w:b/>
    </w:rPr>
  </w:style>
  <w:style w:type="character" w:styleId="DefaultParagraphFont">
    <w:name w:val="Default Paragraph Font"/>
    <w:link w:val="DefaultParagraphFont1"/>
    <w:qFormat/>
    <w:rPr/>
  </w:style>
  <w:style w:type="character" w:styleId="Style11">
    <w:name w:val="Содержимое таблицы"/>
    <w:link w:val="Style24"/>
    <w:qFormat/>
    <w:rPr/>
  </w:style>
  <w:style w:type="character" w:styleId="Style12">
    <w:name w:val="Заголовок"/>
    <w:link w:val="Style18"/>
    <w:qFormat/>
    <w:rPr>
      <w:rFonts w:ascii="PT Astra Serif" w:hAnsi="PT Astra Serif"/>
      <w:sz w:val="28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Footer">
    <w:name w:val="Footer"/>
    <w:qFormat/>
    <w:rPr/>
  </w:style>
  <w:style w:type="character" w:styleId="Heading5">
    <w:name w:val="Heading 5"/>
    <w:qFormat/>
    <w:rPr>
      <w:rFonts w:ascii="XO Thames" w:hAnsi="XO Thames"/>
      <w:b/>
      <w:sz w:val="22"/>
    </w:rPr>
  </w:style>
  <w:style w:type="character" w:styleId="Style13">
    <w:name w:val="Колонтитул"/>
    <w:link w:val="Style26"/>
    <w:qFormat/>
    <w:rPr/>
  </w:style>
  <w:style w:type="character" w:styleId="Header">
    <w:name w:val="Header"/>
    <w:qFormat/>
    <w:rPr/>
  </w:style>
  <w:style w:type="character" w:styleId="Heading1">
    <w:name w:val="Heading 1"/>
    <w:qFormat/>
    <w:rPr>
      <w:rFonts w:ascii="XO Thames" w:hAnsi="XO Thames"/>
      <w:b/>
      <w:sz w:val="32"/>
    </w:rPr>
  </w:style>
  <w:style w:type="character" w:styleId="Style14">
    <w:name w:val="Нижний колонтитул Знак"/>
    <w:basedOn w:val="DefaultParagraphFont"/>
    <w:link w:val="Style29"/>
    <w:qFormat/>
    <w:rPr>
      <w:rFonts w:ascii="Arial" w:hAnsi="Arial"/>
      <w:sz w:val="24"/>
    </w:rPr>
  </w:style>
  <w:style w:type="character" w:styleId="Style15">
    <w:name w:val="Указатель"/>
    <w:link w:val="Style22"/>
    <w:qFormat/>
    <w:rPr>
      <w:rFonts w:ascii="PT Astra Serif" w:hAnsi="PT Astra Serif"/>
    </w:rPr>
  </w:style>
  <w:style w:type="character" w:styleId="Textbody">
    <w:name w:val="Text body"/>
    <w:qFormat/>
    <w:rPr/>
  </w:style>
  <w:style w:type="character" w:styleId="-">
    <w:name w:val="Hyperlink"/>
    <w:basedOn w:val="DefaultParagraphFont"/>
    <w:rPr>
      <w:color w:val="0063A4"/>
      <w:u w:val="non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ListParagraph">
    <w:name w:val="List Paragraph"/>
    <w:link w:val="ListParagraph1"/>
    <w:qFormat/>
    <w:rPr>
      <w:rFonts w:ascii="Calibri" w:hAnsi="Calibri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8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List">
    <w:name w:val="List"/>
    <w:basedOn w:val="Textbody"/>
    <w:qFormat/>
    <w:rPr>
      <w:rFonts w:ascii="PT Astra Serif" w:hAnsi="PT Astra Serif"/>
    </w:rPr>
  </w:style>
  <w:style w:type="character" w:styleId="Style16">
    <w:name w:val="* С выравниванием по левому краю"/>
    <w:link w:val="Style30"/>
    <w:qFormat/>
    <w:rPr>
      <w:rFonts w:ascii="Courier New" w:hAnsi="Courier New"/>
      <w:color w:val="000000"/>
      <w:sz w:val="24"/>
    </w:rPr>
  </w:style>
  <w:style w:type="character" w:styleId="BalloonText">
    <w:name w:val="Balloon Text"/>
    <w:link w:val="BalloonText1"/>
    <w:qFormat/>
    <w:rPr>
      <w:rFonts w:ascii="Segoe UI" w:hAnsi="Segoe UI"/>
      <w:sz w:val="18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Heading4">
    <w:name w:val="Heading 4"/>
    <w:qFormat/>
    <w:rPr>
      <w:rFonts w:ascii="XO Thames" w:hAnsi="XO Thames"/>
      <w:b/>
      <w:sz w:val="24"/>
    </w:rPr>
  </w:style>
  <w:style w:type="character" w:styleId="Style17">
    <w:name w:val="Верхний колонтитул Знак"/>
    <w:basedOn w:val="DefaultParagraphFont"/>
    <w:link w:val="Style33"/>
    <w:qFormat/>
    <w:rPr>
      <w:rFonts w:ascii="Arial" w:hAnsi="Arial"/>
      <w:sz w:val="24"/>
    </w:rPr>
  </w:style>
  <w:style w:type="character" w:styleId="Heading2">
    <w:name w:val="Heading 2"/>
    <w:qFormat/>
    <w:rPr>
      <w:rFonts w:ascii="XO Thames" w:hAnsi="XO Thames"/>
      <w:b/>
      <w:sz w:val="28"/>
    </w:rPr>
  </w:style>
  <w:style w:type="paragraph" w:styleId="Style18">
    <w:name w:val="Заголовок"/>
    <w:basedOn w:val="Normal"/>
    <w:next w:val="Style19"/>
    <w:link w:val="Style12"/>
    <w:qFormat/>
    <w:pPr>
      <w:keepNext w:val="true"/>
      <w:spacing w:before="240" w:after="120"/>
    </w:pPr>
    <w:rPr>
      <w:rFonts w:ascii="PT Astra Serif" w:hAnsi="PT Astra Serif"/>
      <w:sz w:val="28"/>
    </w:rPr>
  </w:style>
  <w:style w:type="paragraph" w:styleId="Style19">
    <w:name w:val="Body Text"/>
    <w:basedOn w:val="Normal"/>
    <w:pPr>
      <w:spacing w:before="0" w:after="160"/>
    </w:pPr>
    <w:rPr/>
  </w:style>
  <w:style w:type="paragraph" w:styleId="Style20">
    <w:name w:val="List"/>
    <w:basedOn w:val="Style19"/>
    <w:pPr/>
    <w:rPr>
      <w:rFonts w:ascii="PT Astra Serif" w:hAnsi="PT Astra Serif"/>
    </w:rPr>
  </w:style>
  <w:style w:type="paragraph" w:styleId="Style21">
    <w:name w:val="Caption"/>
    <w:basedOn w:val="Normal"/>
    <w:qFormat/>
    <w:pPr>
      <w:spacing w:before="120" w:after="120"/>
    </w:pPr>
    <w:rPr>
      <w:rFonts w:ascii="PT Astra Serif" w:hAnsi="PT Astra Serif"/>
      <w:i/>
      <w:sz w:val="24"/>
    </w:rPr>
  </w:style>
  <w:style w:type="paragraph" w:styleId="Style22">
    <w:name w:val="Указатель"/>
    <w:basedOn w:val="Normal"/>
    <w:link w:val="Style15"/>
    <w:qFormat/>
    <w:pPr/>
    <w:rPr>
      <w:rFonts w:ascii="PT Astra Serif" w:hAnsi="PT Astra Serif"/>
    </w:rPr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NormalWeb1">
    <w:name w:val="Normal (Web)"/>
    <w:basedOn w:val="Normal"/>
    <w:link w:val="NormalWeb"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3">
    <w:name w:val="Основной текст Знак"/>
    <w:basedOn w:val="DefaultParagraphFont1"/>
    <w:link w:val="Style9"/>
    <w:qFormat/>
    <w:pPr/>
    <w:rPr>
      <w:rFonts w:ascii="Arial" w:hAnsi="Arial"/>
      <w:sz w:val="24"/>
    </w:rPr>
  </w:style>
  <w:style w:type="paragraph" w:styleId="Endnote1">
    <w:name w:val="Endnote"/>
    <w:link w:val="End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Style24">
    <w:name w:val="Содержимое таблицы"/>
    <w:basedOn w:val="Normal"/>
    <w:link w:val="Style11"/>
    <w:qFormat/>
    <w:pPr>
      <w:widowControl w:val="false"/>
    </w:pPr>
    <w:rPr/>
  </w:style>
  <w:style w:type="paragraph" w:styleId="Style25">
    <w:name w:val="Заголовок таблицы"/>
    <w:basedOn w:val="Style24"/>
    <w:link w:val="Style10"/>
    <w:qFormat/>
    <w:pPr>
      <w:jc w:val="center"/>
    </w:pPr>
    <w:rPr>
      <w:b/>
    </w:rPr>
  </w:style>
  <w:style w:type="paragraph" w:styleId="DefaultParagraphFont1">
    <w:name w:val="Default Paragraph Font"/>
    <w:link w:val="DefaultParagraphFont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6">
    <w:name w:val="Колонтитул"/>
    <w:link w:val="Style13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7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Нижний колонтитул Знак"/>
    <w:basedOn w:val="DefaultParagraphFont1"/>
    <w:link w:val="Style14"/>
    <w:qFormat/>
    <w:pPr/>
    <w:rPr>
      <w:rFonts w:ascii="Arial" w:hAnsi="Arial"/>
      <w:sz w:val="24"/>
    </w:rPr>
  </w:style>
  <w:style w:type="paragraph" w:styleId="Internetlink">
    <w:name w:val="Internet link"/>
    <w:basedOn w:val="DefaultParagraphFont1"/>
    <w:qFormat/>
    <w:pPr/>
    <w:rPr>
      <w:color w:val="0063A4"/>
      <w:u w:val="none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ListParagraph1">
    <w:name w:val="List Paragraph"/>
    <w:basedOn w:val="Normal"/>
    <w:link w:val="ListParagraph"/>
    <w:qFormat/>
    <w:pPr>
      <w:keepLines w:val="false"/>
      <w:ind w:left="720" w:right="0" w:hanging="0"/>
      <w:jc w:val="left"/>
    </w:pPr>
    <w:rPr>
      <w:rFonts w:ascii="Calibri" w:hAnsi="Calibri"/>
      <w:sz w:val="22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30">
    <w:name w:val="* С выравниванием по левому краю"/>
    <w:link w:val="Style16"/>
    <w:qFormat/>
    <w:pPr>
      <w:widowControl w:val="false"/>
      <w:suppressAutoHyphens w:val="true"/>
      <w:bidi w:val="0"/>
      <w:spacing w:lineRule="atLeast" w:line="240" w:before="0" w:after="0"/>
      <w:ind w:left="0" w:right="0" w:hanging="0"/>
      <w:jc w:val="left"/>
    </w:pPr>
    <w:rPr>
      <w:rFonts w:ascii="Courier New" w:hAnsi="Courier New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BalloonText1">
    <w:name w:val="Balloon Text"/>
    <w:basedOn w:val="Normal"/>
    <w:link w:val="BalloonText"/>
    <w:qFormat/>
    <w:pPr/>
    <w:rPr>
      <w:rFonts w:ascii="Segoe UI" w:hAnsi="Segoe UI"/>
      <w:sz w:val="18"/>
    </w:rPr>
  </w:style>
  <w:style w:type="paragraph" w:styleId="Style31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32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Style33">
    <w:name w:val="Верхний колонтитул Знак"/>
    <w:basedOn w:val="DefaultParagraphFont1"/>
    <w:link w:val="Style17"/>
    <w:qFormat/>
    <w:pPr/>
    <w:rPr>
      <w:rFonts w:ascii="Arial" w:hAnsi="Arial"/>
      <w:sz w:val="24"/>
    </w:rPr>
  </w:style>
  <w:style w:type="table" w:default="1" w:styleId="Style_4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6">
    <w:name w:val="Table Grid"/>
    <w:basedOn w:val="Style_4"/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etp-ets.ru/" TargetMode="External"/><Relationship Id="rId3" Type="http://schemas.openxmlformats.org/officeDocument/2006/relationships/hyperlink" Target="http://www.zakupki.gov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hyperlink" Target="https://www.etp-ets.ru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LibreOffice/7.5.6.2$Linux_X86_64 LibreOffice_project/50$Build-2</Application>
  <AppVersion>15.0000</AppVersion>
  <Pages>5</Pages>
  <Words>1100</Words>
  <Characters>7569</Characters>
  <CharactersWithSpaces>8605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2024-08-13T15:00:18Z</cp:lastPrinted>
  <dcterms:modified xsi:type="dcterms:W3CDTF">2024-08-13T15:00:31Z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