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  <w:r>
        <w:rPr/>
        <w:drawing>
          <wp:inline distT="0" distB="0" distL="0" distR="0">
            <wp:extent cx="1114425" cy="504825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ФЕДЕРАЛЬНОЕ ГОСУДАРСТВЕННОЕ УНИТАРНОЕ ПРЕДПРИЯТИЕ</w:t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«ГОРНО-ХИМИЧЕСКИЙ КОМБИНАТ»</w:t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(ФГУП  «ГХК»)</w:t>
      </w:r>
    </w:p>
    <w:p>
      <w:pPr>
        <w:pStyle w:val="Normal"/>
        <w:widowControl w:val="false"/>
        <w:numPr>
          <w:ilvl w:val="0"/>
          <w:numId w:val="0"/>
        </w:numPr>
        <w:spacing w:before="120" w:after="0"/>
        <w:ind w:left="0" w:hanging="0"/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ПРОТОКОЛ № 32514577420/3</w:t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 w:eastAsia="Calibri"/>
          <w:b/>
          <w:bCs/>
          <w:sz w:val="22"/>
          <w:szCs w:val="22"/>
          <w:lang w:eastAsia="en-US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заседания закупочной комиссии по подведению итогов закупки (итоговый протокол) </w:t>
      </w: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2"/>
          <w:szCs w:val="22"/>
          <w:lang w:val="ru-RU" w:eastAsia="ru-RU" w:bidi="ar-SA"/>
        </w:rPr>
        <w:t>открытого запроса предложений в электронной форме без предварительного квалификационного отбора на право заключения договора на оказание транспортных услуг по перевозке персонала</w:t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г. Железногорск</w:t>
        <w:tab/>
        <w:tab/>
        <w:tab/>
        <w:tab/>
        <w:t xml:space="preserve">        дата подписания протокола « ___ » марта 2025 г.</w:t>
      </w:r>
    </w:p>
    <w:p>
      <w:pPr>
        <w:pStyle w:val="Normal"/>
        <w:keepLines w:val="false"/>
        <w:widowControl w:val="false"/>
        <w:tabs>
          <w:tab w:val="clear" w:pos="708"/>
          <w:tab w:val="left" w:pos="709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P-Style"/>
        <w:spacing w:lineRule="auto" w:line="240" w:before="0" w:after="0"/>
        <w:rPr>
          <w:b/>
          <w:bCs/>
        </w:rPr>
      </w:pPr>
      <w:r>
        <w:rPr>
          <w:b/>
          <w:bCs/>
        </w:rPr>
        <w:t>Информация о закупке:</w:t>
      </w:r>
    </w:p>
    <w:p>
      <w:pPr>
        <w:pStyle w:val="P-Style"/>
        <w:spacing w:lineRule="auto" w:line="240" w:before="0" w:after="0"/>
        <w:jc w:val="both"/>
        <w:rPr/>
      </w:pPr>
      <w:r>
        <w:rPr>
          <w:b/>
        </w:rPr>
        <w:t>Заказчик закупки:</w:t>
      </w:r>
      <w:r>
        <w:rPr>
          <w:b/>
          <w:bCs/>
        </w:rPr>
        <w:t xml:space="preserve"> </w:t>
      </w:r>
      <w:r>
        <w:rPr>
          <w:sz w:val="23"/>
          <w:szCs w:val="23"/>
        </w:rPr>
        <w:t>Общество с ограниченной отве</w:t>
      </w:r>
      <w:r>
        <w:rPr>
          <w:rFonts w:eastAsia="Times New Roman"/>
          <w:sz w:val="23"/>
          <w:szCs w:val="23"/>
        </w:rPr>
        <w:t>тственностью «Строительно-монтажное управление Горно-химического комбината» (ООО «СМУ ГХК») 662972, РФ, Красноярский край, ЗАТО Железногорск, г.Железногорск, ул.Ленина, д.74Б, помещ.14).</w:t>
      </w:r>
    </w:p>
    <w:p>
      <w:pPr>
        <w:pStyle w:val="P-Style"/>
        <w:spacing w:lineRule="auto" w:line="240" w:before="0" w:after="0"/>
        <w:jc w:val="both"/>
        <w:rPr/>
      </w:pPr>
      <w:r>
        <w:rPr>
          <w:b/>
        </w:rPr>
        <w:t xml:space="preserve">Организатор закупки: </w:t>
      </w:r>
      <w:r>
        <w:rPr/>
        <w:t>Федеральное государственное унитарное предприятие «Горно-химический комбинат» (Россия, 662972, ЗАТО Железногорск, г. Железногорск, Красноярского края, ул. Ленина, 53).</w:t>
      </w:r>
    </w:p>
    <w:p>
      <w:pPr>
        <w:pStyle w:val="P-Style"/>
        <w:spacing w:lineRule="auto" w:line="240" w:before="0" w:after="0"/>
        <w:jc w:val="both"/>
        <w:rPr/>
      </w:pPr>
      <w:r>
        <w:rPr>
          <w:b/>
          <w:color w:val="000000"/>
          <w:lang w:eastAsia="ar-SA"/>
        </w:rPr>
        <w:t>Способ</w:t>
      </w:r>
      <w:r>
        <w:rPr>
          <w:b/>
        </w:rPr>
        <w:t xml:space="preserve"> </w:t>
      </w:r>
      <w:r>
        <w:rPr>
          <w:b/>
          <w:color w:val="000000"/>
          <w:lang w:eastAsia="ar-SA"/>
        </w:rPr>
        <w:t>закупки</w:t>
      </w:r>
      <w:r>
        <w:rPr>
          <w:b/>
        </w:rPr>
        <w:t>:</w:t>
      </w:r>
      <w:r>
        <w:rPr/>
        <w:t xml:space="preserve"> </w:t>
      </w:r>
      <w:r>
        <w:rPr>
          <w:color w:val="000000"/>
          <w:lang w:eastAsia="ar-SA"/>
        </w:rPr>
        <w:t>открытый запрос предложений в электронной форме, участниками которого могут быть только субъекты малого и среднего предпринимательства.</w:t>
      </w:r>
    </w:p>
    <w:p>
      <w:pPr>
        <w:pStyle w:val="P-Style"/>
        <w:spacing w:lineRule="auto" w:line="240" w:before="0" w:after="0"/>
        <w:jc w:val="both"/>
        <w:rPr>
          <w:rFonts w:eastAsia="Calibri"/>
          <w:bCs/>
          <w:spacing w:val="-6"/>
          <w:lang w:eastAsia="en-US"/>
        </w:rPr>
      </w:pPr>
      <w:r>
        <w:rPr>
          <w:b/>
        </w:rPr>
        <w:t xml:space="preserve">Предмет договора: </w:t>
      </w:r>
      <w:r>
        <w:rPr>
          <w:color w:val="000000"/>
        </w:rPr>
        <w:t>оказание транспортных услуг по перевозк</w:t>
      </w:r>
      <w:r>
        <w:rPr>
          <w:rFonts w:eastAsia="Times New Roman"/>
          <w:color w:val="000000"/>
          <w:sz w:val="24"/>
          <w:szCs w:val="24"/>
        </w:rPr>
        <w:t>е персонала.</w:t>
      </w:r>
    </w:p>
    <w:p>
      <w:pPr>
        <w:pStyle w:val="P-Style"/>
        <w:spacing w:lineRule="auto" w:line="240" w:before="0" w:after="0"/>
        <w:jc w:val="both"/>
        <w:rPr>
          <w:bCs/>
        </w:rPr>
      </w:pPr>
      <w:r>
        <w:rPr>
          <w:b/>
          <w:bCs/>
        </w:rPr>
        <w:t xml:space="preserve">Состав и объем </w:t>
      </w:r>
      <w:r>
        <w:rPr>
          <w:b/>
          <w:bCs/>
          <w:i/>
        </w:rPr>
        <w:t>товара/работ/услуг</w:t>
      </w:r>
      <w:r>
        <w:rPr>
          <w:b/>
          <w:bCs/>
        </w:rPr>
        <w:t xml:space="preserve">: </w:t>
      </w:r>
      <w:r>
        <w:rPr>
          <w:bCs/>
        </w:rPr>
        <w:t>В соответствии с томом 2 «Техническая часть» документации по проведению закупки.</w:t>
      </w:r>
    </w:p>
    <w:p>
      <w:pPr>
        <w:pStyle w:val="P-Style"/>
        <w:spacing w:lineRule="auto" w:line="240" w:before="0" w:after="0"/>
        <w:jc w:val="both"/>
        <w:rPr/>
      </w:pPr>
      <w:r>
        <w:rPr>
          <w:b/>
        </w:rPr>
        <w:t xml:space="preserve">Срок </w:t>
      </w:r>
      <w:r>
        <w:rPr>
          <w:b/>
          <w:i/>
        </w:rPr>
        <w:t>поставки товара, выполнения работ или оказания услуг</w:t>
      </w:r>
      <w:r>
        <w:rPr>
          <w:b/>
        </w:rPr>
        <w:t xml:space="preserve">: </w:t>
      </w:r>
      <w:r>
        <w:rPr>
          <w:bCs/>
        </w:rPr>
        <w:t>В соответствии с томом 2 «Техническая часть» документации по проведению закупки.</w:t>
      </w:r>
    </w:p>
    <w:p>
      <w:pPr>
        <w:pStyle w:val="Normal"/>
        <w:tabs>
          <w:tab w:val="clear" w:pos="708"/>
          <w:tab w:val="left" w:pos="0" w:leader="none"/>
        </w:tabs>
        <w:spacing w:before="113" w:after="0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 xml:space="preserve">Начальная (максимальная) цена договора: </w:t>
      </w:r>
    </w:p>
    <w:p>
      <w:pPr>
        <w:pStyle w:val="Normal"/>
        <w:tabs>
          <w:tab w:val="clear" w:pos="708"/>
          <w:tab w:val="left" w:pos="0" w:leader="none"/>
        </w:tabs>
        <w:spacing w:before="0" w:after="0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  <w:sz w:val="24"/>
          <w:szCs w:val="24"/>
        </w:rPr>
        <w:t>8 400 000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 w:val="false"/>
          <w:bCs w:val="false"/>
          <w:sz w:val="24"/>
          <w:szCs w:val="24"/>
        </w:rPr>
        <w:t>(</w:t>
      </w: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>восемь миллионов четыреста тысяч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) рублей </w:t>
      </w:r>
      <w:r>
        <w:rPr>
          <w:rFonts w:ascii="Times New Roman" w:hAnsi="Times New Roman"/>
          <w:b/>
          <w:bCs/>
          <w:sz w:val="24"/>
          <w:szCs w:val="24"/>
        </w:rPr>
        <w:t>00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копеек, с учетом НДС.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0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7 000 000 (</w:t>
      </w:r>
      <w:r>
        <w:rPr>
          <w:rFonts w:ascii="Times New Roman" w:hAnsi="Times New Roman"/>
          <w:i/>
          <w:iCs/>
          <w:sz w:val="24"/>
          <w:szCs w:val="24"/>
        </w:rPr>
        <w:t>семь миллионов)</w:t>
      </w:r>
      <w:r>
        <w:rPr>
          <w:rFonts w:ascii="Times New Roman" w:hAnsi="Times New Roman"/>
          <w:sz w:val="24"/>
          <w:szCs w:val="24"/>
        </w:rPr>
        <w:t xml:space="preserve"> рублей 00 копеек, без учета НДС.</w:t>
      </w:r>
    </w:p>
    <w:p>
      <w:pPr>
        <w:pStyle w:val="ListParagraph"/>
        <w:tabs>
          <w:tab w:val="clear" w:pos="708"/>
          <w:tab w:val="left" w:pos="0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Предельная стоимость закупки составляет: </w:t>
      </w:r>
    </w:p>
    <w:p>
      <w:pPr>
        <w:pStyle w:val="ListParagraph"/>
        <w:tabs>
          <w:tab w:val="clear" w:pos="708"/>
          <w:tab w:val="left" w:pos="0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8 400 000 (</w:t>
      </w: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>восемь миллионов четыреста тысяч</w:t>
      </w:r>
      <w:r>
        <w:rPr>
          <w:rFonts w:ascii="Times New Roman" w:hAnsi="Times New Roman"/>
          <w:b w:val="false"/>
          <w:bCs w:val="false"/>
          <w:sz w:val="24"/>
          <w:szCs w:val="24"/>
        </w:rPr>
        <w:t>) рублей 00 копеек, с учетом НДС.</w:t>
      </w:r>
    </w:p>
    <w:p>
      <w:pPr>
        <w:pStyle w:val="Normal"/>
        <w:tabs>
          <w:tab w:val="clear" w:pos="708"/>
          <w:tab w:val="left" w:pos="0" w:leader="none"/>
        </w:tabs>
        <w:spacing w:before="0" w:after="0"/>
        <w:rPr>
          <w:rFonts w:ascii="Times New Roman" w:hAnsi="Times New Roman"/>
          <w:bCs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7 000 000 (</w:t>
      </w: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>семь миллионов)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рублей 00 копеек, без учета НДС.</w:t>
      </w:r>
    </w:p>
    <w:p>
      <w:pPr>
        <w:pStyle w:val="Normal"/>
        <w:tabs>
          <w:tab w:val="clear" w:pos="708"/>
          <w:tab w:val="left" w:pos="1134" w:leader="none"/>
        </w:tabs>
        <w:spacing w:before="0" w:after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Начальная (максимальная) цена единицы услуги (за час): </w:t>
      </w:r>
    </w:p>
    <w:tbl>
      <w:tblPr>
        <w:tblW w:w="4900" w:type="pct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613"/>
        <w:gridCol w:w="7665"/>
        <w:gridCol w:w="1556"/>
      </w:tblGrid>
      <w:tr>
        <w:trPr>
          <w:tblHeader w:val="true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</w:rPr>
              <w:t xml:space="preserve">№ </w:t>
            </w:r>
            <w:r>
              <w:rPr>
                <w:rFonts w:ascii="Times New Roman" w:hAnsi="Times New Roman"/>
              </w:rPr>
              <w:t>п/п</w:t>
            </w:r>
          </w:p>
        </w:tc>
        <w:tc>
          <w:tcPr>
            <w:tcW w:w="7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before="0" w:after="0"/>
              <w:contextualSpacing/>
              <w:jc w:val="center"/>
              <w:rPr>
                <w:sz w:val="21"/>
                <w:szCs w:val="21"/>
              </w:rPr>
            </w:pPr>
            <w:r>
              <w:rPr>
                <w:rFonts w:ascii="XO Thames" w:hAnsi="XO Thames"/>
                <w:kern w:val="0"/>
                <w:sz w:val="21"/>
                <w:szCs w:val="21"/>
                <w:lang w:val="ru-RU" w:bidi="ar-SA"/>
              </w:rPr>
              <w:t>Наименование услуги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ascii="XO Thames" w:hAnsi="XO Thames"/>
                <w:kern w:val="0"/>
                <w:sz w:val="20"/>
                <w:szCs w:val="20"/>
                <w:lang w:val="ru-RU" w:bidi="ar-SA"/>
              </w:rPr>
              <w:t>Начальная (максимальная) цена единицы услуги, руб. без учета НДС.</w:t>
            </w:r>
          </w:p>
        </w:tc>
      </w:tr>
      <w:tr>
        <w:trPr/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7 мест)</w:t>
              <w:br/>
              <w:t xml:space="preserve">г. Красноярск, ул. Красноярский рабочий, 59 (Возрождение кредит) п. Березовка, перекресток ул. Дружба-Кирова - п. Есаулово, перекресток ул. Ворошилова-Майская - г. Железногорск, ул. Октябрьская 31- зд.28; ОДЦ - ул. Октябрьская 31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 xml:space="preserve">г. Красноярск, ул. Красноярский рабочий, 59 (Возрождение кредит) п. Березовка, перекресток ул. Дружба-Кирова - п. Есаулово, перекресток ул. Ворошилова-Майская - г. Железногорск, ул. Октябрьская 31- зд.28; ОДЦ - ул. Октябрьская 31 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4 500,00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Сосновоборск, пр. Мира, 3 - г. Сосновоборск, ул. Ленинского комсомола, ост. Сбербанк - г. Сосновоборск, ул. Ленинского комсомола, ост. Солнышко - п. Подгорный, ул. Строительная, 27 - г. Железногорск, пос. Первомайский, ул. Поселковая, 28</w:t>
              <w:br/>
              <w:t>- г. Железногорск, пос. Первомайский, ул. Белорусская - г. Железногорск, пос. Первомайский, ул. Толстого (ПАТП) - г. Железногорск, ул. Красноярская - зд.20; ИХЗ - зд.28; ОДЦ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3 750,00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Сосновоборск, пр. Мира, 3 - г. Сосновоборск, ул. Ленинского комсомола, ост. Сбербанк - г. Сосновоборск, ул. Ленинского комсомола, ост. Солнышко - п. Подгорный, ул. Строительная, 27 - г. Железногорск, пос. Первомайский, ул. Поселковая, 28 - г. Железногорск, пос. Первомайский, ул. Белорусская - г. Железногорск, пос. Первомайский, ул. Толстого (ПАТП) - г. Железногорск, ул. Красноярская - зд.20; ИХЗ - зд.28; ОДЦ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5 000,00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 xml:space="preserve">г. Сосновоборск, пр. Мира, 3 - г. Сосновоборск, ул. Ленинского комсомола, ост. Сбербанк - г. Сосновоборск, ул. Ленинского комсомола, ост. Солнышко - п. Подгорный, ул. Строительная, 27 - г. Железногорск, пос. Первомайский, ул. Поселковая, 28 - г. Железногорск, пос. Первомайский, ул. Белорусская - г. Железногорск, пос. Первомайский, ул. Толстого (ПАТП) - г. Железногорск, ул. Красноярская - зд.20; ИХЗ - зд.28; ОДЦ 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7 000,00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Железногорск, ул. Красноярская, 15 - г. Железногорск, ул. Лысенко, 14 - г. Железногорск, ул. Советской Армии, столовая «Арктика»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1 500,00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Железногорск, ул. Красноярская, 15 - г. Железногорск, ул. Лысенко, 14 - г. Железногорск, ул. Советской Армии, столовая «Арктика»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2 000,00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ул. Красноярская, 15 - г. Железногорск, ул. Лысенко, 14 - г. Железногорск, ул. Советской Армии, столовая «Арктика»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2 800,00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г. Железногорск, ул. Лысенко, 14 - г. Железногорск, ул. 60 лет ВЛКСМ - г. Железногорск, пр. Ленинградский, ост. «Эскадра» - г. Железногорск, пр. Курчатова - г. Железногорск, ул. Ленина - г. Железногорск, ул. Загородная, КПП №4 - зд.20; ИХЗ - зд.28; ОДЦ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Железногорск, ул. Лысенко, 14 - г. Железногорск, ул. 60 лет ВЛКСМ - г. Железногорск, пр. Ленинградский, ост. «Эскадра» - г. Железногорск, пр. Курчатова - г. Железногорск, ул. Ленина - г. Железногорск, ул. Загородная, КПП №4 - зд.20; ИХЗ - зд.28; ОДЦ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4 000,00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ул. Лысенко, 14 - г. Железногорск, ул. 60 лет ВЛКСМ - г. Железногорск, пр. Ленинградский, ост. «Эскадра» - г. Железногорск, пр. Курчатова - г. Железногорск, ул. Ленина - г. Железногорск, ул. Загородная, КПП №4 - зд.20; ИХЗ - зд.28; ОДЦ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5 600,00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зд.28; ОДЦ - зд.20; ИХЗ - г. Железногорск, ул. Ленина - г. Железногорск, пр. Курчатова - г. Железногорск, пр. Ленинградский - г. Железногорск, пос. Первомайский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зд.28; ОДЦ - зд.20; ИХЗ - г. Железногорск, ул. Ленина - г. Железногорск, пр. Курчатова - г. Железногорск, пр. Ленинградский - г. Железногорск, пос. Первомайский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4 000,00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зд.28; ОДЦ - зд.20; ИХЗ - г. Железногорск, ул. Ленина - г. Железногорск, пр. Курчатова - г. Железногорск, пр. Ленинградский - г. Железногорск, пос. Первомайский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5 600,00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7 мест)</w:t>
              <w:br/>
              <w:t>зд.28; ОДЦ - г. Железногорск, ул. Советской Армии, столовая «Арктика» - г. п. Есаулово, перекресток ул. Ворошилова-Майская - п. Березовка, перекресток ул. Дружба-Кирова - г. Красноярск, ул. Красноярский рабочий, 59 (Возрождение кредит)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3 500,00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зд.28; ОДЦ - г. Железногорск, ул. Советской Армии, столовая «Арктика» - г. п. Есаулово, перекресток ул. Ворошилова-Майская - п. Березовка, перекресток ул. Дружба-Кирова - г. Красноярск, ул. Красноярский рабочий, 59 (Возрождение кредит)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5 250,00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зд.28; ОДЦ - зд.20; ИХЗ - г. Железногорск, ул. Ленина, ост. к/т «Спартак»</w:t>
              <w:br/>
              <w:t>- г. Железногорск, пр. Курчатова - г. Железногорск, ул. 60 лет ВЛКСМ, ост. «Снежинка» - г. Железногорск, пр. Ленинградский - г. Железногорск, ул. Лысенко, 14 - г. Железногорск, пос. Первомайский - п. Подгорный, ул. Строительная, 27 - г. Сосновоборск, ул. Ленинского комсомола, ост. Солнышко - г. Сосновоборск, ул. Ленинского комсомола, ост. Сбербанк - г. Сосновоборск, пр. Мира, 3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4 500,00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зд.28; ОДЦ - зд.20; ИХЗ - г. Железногорск, ул. Ленина, ост. к/т «Спартак» - г. Железногорск, пр. Курчатова - г. Железногорск, ул. 60 лет ВЛКСМ, ост. «Снежинка» - г. Железногорск, пр. Ленинградский - г. Железногорск, ул. Лысенко, 14 - г. Железногорск, пос. Первомайский - п. Подгорный, ул. Строительная, 27 - г. Сосновоборск, ул. Ленинского комсомола, ост. Солнышко - г. Сосновоборск, ул. Ленинского комсомола, ост. Сбербанк - г. Сосновоборск, пр. Мира, 3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6 000,00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зд.28; ОДЦ - зд.20; ИХЗ - г. Железногорск, ул. Ленина, ост. к/т «Спартак» - г. Железногорск, пр. Курчатова - г. Железногорск, ул. 60 лет ВЛКСМ, ост. «Снежинка» - г. Железногорск, пр. Ленинградский - г. Железногорск, ул. Лысенко, 14 - г. Железногорск, пос. Первомайский - п. Подгорный, ул. Строительная, 27 - г. Сосновоборск, ул. Ленинского комсомола, ост. Солнышко - г. Сосновоборск, ул. Ленинского комсомола, ост. Сбербанк - г. Сосновоборск, пр. Мира, 3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8 400,00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suppressAutoHyphens w:val="true"/>
              <w:spacing w:before="34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Железногорск, ул. Советской Армии, столовая «Арктика» - г. Железногорск, ул. Южная, 18 Д, маг. «Хороший»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1 500,00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Железногорск, ул. Советской Армии, столовая «Арктика» - г. Железногорск, ул. Южная, 18 Д, маг. «Хороший»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2 000,00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ул. Советской Армии, столовая «Арктика» - г. Железногорск, ул. Южная, 18 Д, маг. «Хороший»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2 800,00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зд.28; ОДЦ - г. Железногорск, ул. Лысенко, 14 -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2 250,00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зд.28; ОДЦ - г. Железногорск, ул. Лысенко, 14 -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зд.28; ОДЦ - г. Железногорск, ул. Лысенко, 14 -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4 200,00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КПП №1 ГХК - г. Железногорск, ул. Ленина - г. Железногорск, пр. Курчатова - г. Железногорск, пр. Ленинградский - г. Железногорск, ул. Красноярская, 15 - г. Железногорск, ул. Лысенко, 14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1 500,00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КПП №1 ГХК - г. Железногорск, ул. Ленина - г. Железногорск, пр. Курчатова - г. Железногорск, пр. Ленинградский - г. Железногорск, ул. Крас-ноярская, 15 - г. Железногорск, ул. Лысенко, 14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2 000,00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КПП №1 ГХК - г. Железногорск, ул. Ленина - г. Железногорск, пр. Курчатова - г. Железногорск, пр. Ленинградский - г. Железногорск, ул. Красноярская, 15 - г. Железногорск, ул. Лысенко, 14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2 800,00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п. Подгорный, ул. Строительная, 27 - г. Сосновоборск, ост. Серебряный ключ - г. Сосновоборск, пр. Мира, 3 - г. Сосновоборск, ул. Ленинского комсомола, ост. Сбербанк - г. Сосновоборск, ул. Ленинского комсомола, ост. Солнышко - г. Железногорск, пос. Первомайский, ул. Белорусская - г. Железногорск, пос. Первомайский, ул. Толстого - г. Железногорск, ул. Южная - г. Железногорск, пр. Ленинградский - г. Железногорск, пр. Курчатова - г. Железногорск, ул. Ленина - г. Железногорск, ул. Советской Армии, столовая «Арктика»</w:t>
              <w:br/>
              <w:t>маг. «Хороший»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п. Подгорный, ул. Строительная, 27 - г. Сосновоборск, ост. Серебряный ключ - г. Сосновоборск, пр. Мира, 3 - г. Сосновоборск, ул. Ленинского комсомола, ост. Сбербанк - г. Сосновоборск, ул. Ленинского комсомола, ост. Солнышко - г. Железногорск, пос. Первомайский, ул. Белорусская - г. Железногорск, пос. Первомайский, ул. Толстого - г. Железногорск, ул. Южная - г. Железногорск, пр. Ленинградский - г. Железногорск, пр. Курчатова - г. Железногорск, ул. Ленина - г. Железногорск, ул. Советской Армии, столовая «Арктика» маг. «Хороший»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4 000,00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п. Подгорный, ул. Строительная, 27 - г. Сосновоборск, ост. Серебряный ключ - г. Сосновоборск, пр. Мира, 3 - г. Сосновоборск, ул. Ленинского комсомола, ост. Сбербанк - г. Сосновоборск, ул. Ленинского комсомола, ост. Солнышко - г. Железногорск, пос. Первомайский, ул. Белорусская - г. Железногорск, пос. Первомайский, ул. Толстого - г. Железногорск, ул. Южная - г. Железногорск, пр. Ленинградский - г. Железногорск, пр. Курчатова - г. Железногорск, ул. Ленина - г. Железногорск, ул. Советской Армии, столовая «Арктика» маг. «Хороший»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5 600,00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Железногорск, ул. Советской Армии, столовая «Арктика» - г. Железногорск, ул. Ленина, ост. к/т «Спартак» - г. Железногорск, пр. Курчатова - г. Железногорск, пр. Ленинградский - г. Железногорск, ул. Южная - г. Железногорск, пос. Первомайский, ул. Толстого (ПАТП) - г. Железногорск, пос. Первомайский, ул. Толстого, 13 - г. Железногорск, пос. Первомайский, ул. Белорусская - г. Сосновоборск, ост. Серебряный ключ - г. Сосновоборск, пр. Мира, 3 - г. Сосновоборск, ул. Ленинского комсомола, ост. Сбербанк - г. Сосновоборск, ул. Ленинского комсомола, ост. Солнышко - п. Подгорный, ул. Строительная, 27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Железногорск, ул. Советской Армии, столовая «Арктика» - г. Железногорск, ул. Ленина, ост. к/т «Спартак» - г. Железногорск, пр. Курчатова - г. Железногорск, пр. Ленинградский - г. Железногорск, ул. Южная - г. Железногорск, пос. Первомайский, ул. Толстого (ПАТП) - г. Железногорск, пос. Первомайский, ул. Толстого, 13 - г. Железногорск, пос. Первомайский, ул. Белорусская - г. Сосновоборск, ост. Серебряный ключ - г. Сосновоборск, пр. Мира, 3 - г. Сосновоборск, ул. Ленинского комсомола, ост. Сбербанк - г. Сосновоборск, ул. Ленинского комсомола, ост. Солнышко - п. Подгорный, ул. Строительная, 27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4 000,00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ул. Советской Армии, столовая «Арктика» - г. Железногорск, ул. Ленина, ост. к/т «Спартак» - г. Железногорск, пр. Курчатова - г. Железногорск, пр. Ленинградский - г. Железногорск, ул. Южная - г. Железногорск, пос. Первомайский, ул. Толстого (ПАТП) - г. Железногорск, пос. Первомайский, ул. Толстого, 13 - г. Железногорск, пос. Первомайский, ул. Белорусская - г. Сосновоборск, ост. Серебряный ключ - г. Сосновоборск, пр. Мира, 3 - г. Сосновоборск, ул. Ленинского комсомола, ост. Сбербанк - г. Сосновоборск, ул. Ленинского комсомола, ост. Солнышко - п. Подгорный, ул. Строительная, 27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5 600,00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Железногорск, ул. Советской Армии, столовая «Арктика» - г. Железногорск, ул. Южная, 18 Д, маг. «Хороший» - г. Железногорск, пр. Ленинградский - г. Железногорск, пр. Курчатова - г. Железногорск, ул. Ленина - г. Железногорск, ул. Южная, 18 Д, маг. «Хороший» - г. Железногорск, ул. Красноярская, 15 - г. Железногорск, пр. Курчатова - г. Железногорск, ул. 60 лет ВЛКСМ, ост. «Снежинка» - г. Железногорск, пр. Ленинградский - г. Железногорск, ул. Лысенко, 14 - г. Железногорск, пос. Первомайский - п. Подгорный, ул. Строительная, 27 - г. Сосновоборск, ул. Ленинского комсомола, ост. Солнышко - г. Сосновоборск, ул. Ленинского комсомола, ост. Сбербанк - г. Сосновоборск, пр. Мира, 3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2 250,00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Железногорск, ул. Советской Армии, столовая «Арктика» - г. Железногорск, ул. Южная, 18 Д, маг. «Хороший» - г. Железногорск, пр. Ленинградский - г. Железногорск, пр. Курчатова - г. Железногорск, ул. Ленина - г. Железногорск, ул. Южная, 18 Д, маг. «Хороший» - г. Железногорск, ул. Красноярская, 15 - г. Железногорск, пр. Курчатова - г. Железногорск, ул. 60 лет ВЛКСМ, ост. «Снежинка» - г. Железногорск, пр. Ленинградский - г. Железногорск, ул. Лысенко, 14 - г. Железногорск, пос. Первомайский - п. Подгорный, ул. Строительная, 27 - г. Сосновоборск, ул. Ленинского комсомола, ост. Солнышко - г. Сосновоборск, ул. Ленинского комсомола, ост. Сбербанк - г. Сосновоборск, пр. Мира, 3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ул. Советской Армии, столовая «Арктика» - г. Железногорск, ул. Южная, 18 Д, маг. «Хороший» - г. Железногорск, пр. Ленинградский - г. Железногорск, пр. Курчатова - г. Железногорск, ул. Ленина - г. Железногорск, ул. Южная, 18 Д, маг. «Хороший» - г. Железногорск, ул. Красноярская, 15 - г. Железногорск, пр. Курчатова - г. Железногорск, ул. 60 лет ВЛКСМ, ост. «Снежинка» - г. Железногорск, пр. Ленинградский - г. Железногорск, ул. Лысенко, 14 - г. Железногорск, пос. Первомайский - п. Подгорный, ул. Строительная, 27 - г. Сосновоборск, ул. Ленинского комсомола, ост. Солнышко - г. Сосновоборск, ул. Ленинского комсомола, ост. Сбербанк - г. Сосновоборск, пр. Мира, 3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4 200,00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Железногорск, ул. Лысенко, 14 - г. Железногорск, ул. Красноярская, 15 - г. Железногорск, ул. Загородная, КПП №4 - зд.20; ИХЗ - зд.28; ОДЦ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2 250,00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Железногорск, ул. Лысенко, 14 - г. Железногорск, ул. Красноярская, 15 - г. Железногорск, ул. Загородная, КПП №4 - зд.20; ИХЗ - зд.28; ОДЦ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ул. Лысенко, 14 - г. Железногорск, ул. Красноярская, 15 - г. Железногорск, ул. Загородная, КПП №4 - зд.20; ИХЗ - зд.28; ОДЦ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4 200,00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ззд.20; ИХЗ – ПВХРО - зд.28; ОДЦ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1 500,00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ззд.20; ИХЗ – ПВХРО - зд.28; ОДЦ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2 000,00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ззд.20; ИХЗ – ПВХРО - зд.28; ОДЦ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2 800,00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ПВХРО - зд.28; ОДЦ - г. Железногорск, ул. Лысенко, 14 -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ПВХРО - зд.28; ОДЦ - г. Железногорск, ул. Лысенко, 14 -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4 000,00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ПВХРО - зд.28; ОДЦ - г. Железногорск, ул. Лысенко, 14 -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5 600,00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Железногорск, пос. Первомайский, ул. Поселковая, 28- г. Железногорск, пос. Первомайский, ул. Белорусская - г. Железногорск, пос. Первомайский, ул. Толстого - г. Железногорск, пр. Ленинградский - г. Железногорск, пр. Курчатова - г. Железногорск, ул. Свердлова, к/т «Родина» - г. Железногорск, ул. Ленина, столовая «Заря» - г. Железногорск, ул. Загородная, ост. Лукаши - г. Железногорск, ул. Промышленная, 26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2 250,00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20 мест)</w:t>
              <w:br/>
              <w:t>г. Железногорск, пос. Первомайский, ул. Поселковая, 28- г. Железногорск, пос. Первомайский, ул. Белорусская - г. Железногорск, пос. Первомайский, ул. Толстого - г. Железногорск, пр. Ленинградский - г. Железногорск, пр. Курчатова - г. Железногорск, ул. Свердлова, к/т «Родина» - г. Железногорск, ул. Ленина, столовая «Заря» - г. Железногорск, ул. Загородная, ост. Лукаши - г. Железногорск, ул. Промышленная, 26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пос. Первомайский, ул. Поселковая, 28- г. Железногорск, пос. Первомайский, ул. Белорусская - г. Железногорск, пос. Первомайский, ул. Толстого - г. Железногорск, пр. Ленинградский - г. Железногорск, пр. Курчатова - г. Железногорск, ул. Свердлова, к/т «Родина» - г. Железногорск, ул. Ленина, столовая «Заря» - г. Железногорск, ул. Загородная, ост. Лукаши - г. Железногорск, ул. Промышленная, 26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4 200,00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Железногорск, ул. Промышленная, 26 - г. Железногорск, ул. Загородная, ост. Лукаши - г. Железногорск, ул. Ленина, столовая «Заря» - г. Железногорск, ул. Свердлова, к/т «Родина» - г. Железногорск, пр. Курчатова - г. Железногорск, пр. Ленинградский - г. Железногорск, пос. Первомайский, ул. Толстого - г. Железногорск, пос. Первомайский, ул. Белорусская - г. Железногорск, пос. Первомайский, ул. Поселковая, 28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2 250,00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Железногорск, ул. Промышленная, 26 - г. Железногорск, ул. Загородная, ост. Лукаши - г. Железногорск, ул. Ленина, столовая «Заря» - г. Железногорск, ул. Свердлова, к/т «Родина» - г. Железногорск, пр. Курчатова - г. Железногорск, пр. Ленинградский - г. Железногорск, пос. Первомайский, ул. Толстого - г. Железногорск, пос. Первомайский, ул. Белорусская - г. Железногорск, пос. Первомайский, ул. Поселковая, 28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ул. Промышленная, 26 - г. Железногорск, ул. Загородная, ост. Лукаши - г. Железногорск, ул. Ленина, столовая «Заря» - г. Железногорск, ул. Свердлова, к/т «Родина» - г. Железногорск, пр. Курчатова - г. Железногорск, пр. Ленинградский - г. Железногорск, пос. Первомайский, ул. Толстого - г. Железногорск, пос. Первомайский, ул. Белорусская - г. Железногорск, пос. Первомайский, ул. Поселковая, 28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4 200,00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Железногорск, пос. Первомайский, ул. Белорусская - г. Железногорск, ул. Лысенко, 14 - г. Железногорск, ул. Красноярская, 15 - пр. ленинградский - пр. Курчатова - ул. Ленина ост. Заря - ЗРТ зд.28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Железногорск, ул. Промышленная, 26 - г. Железногорск, ул. Загородная, ост. Лукаши - г. Железногорск, ул. Ленина, столовая «Заря» - г. Железногорск, ул. Свердлова, к/т «Родина» - г. Железногорск, пр. Курчатова - г. Железногорск, пр. Ленинградский - г. Железногорск, пос. Первомайский, ул. Толстого - г. Железногорск, пос. Первомайский, ул. Белорусская - г. Железногорск, пос. Первомайский, ул. Поселковая, 28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4 000,00</w:t>
            </w:r>
          </w:p>
        </w:tc>
      </w:tr>
      <w:tr>
        <w:trPr/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пос. Первомайский, ул. Белорусская - г. Железногорск, ул. Лысенко, 14 - г. Железногорск, ул. Красноярская, 15 - пр. ленинградский - пр. Курчатова - ул. Ленина ост. Заря - ЗРТ зд.28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5 600,00</w:t>
            </w:r>
          </w:p>
        </w:tc>
      </w:tr>
    </w:tbl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spacing w:before="120" w:after="0"/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и закупочная документация опубликованы «04» марта 2025 года на официальном государственном сайте http://www.zakupki.gov.ru, закупка № </w:t>
      </w:r>
      <w:r>
        <w:rPr>
          <w:rFonts w:ascii="Times New Roman" w:hAnsi="Times New Roman"/>
          <w:b/>
        </w:rPr>
        <w:t>32514577420</w:t>
      </w:r>
      <w:r>
        <w:rPr>
          <w:rFonts w:ascii="Times New Roman" w:hAnsi="Times New Roman"/>
        </w:rPr>
        <w:t xml:space="preserve">, на официальном сайте по закупкам атомной отрасли http://zakupki.rosatom.ru, закупка № </w:t>
      </w:r>
      <w:r>
        <w:rPr>
          <w:rFonts w:ascii="Times New Roman" w:hAnsi="Times New Roman"/>
          <w:b/>
        </w:rPr>
        <w:t>53212</w:t>
      </w:r>
      <w:r>
        <w:rPr>
          <w:rFonts w:ascii="Times New Roman" w:hAnsi="Times New Roman"/>
        </w:rPr>
        <w:t>, на сайте ЭТП АО «</w:t>
      </w:r>
      <w:r>
        <w:rPr>
          <w:rFonts w:ascii="Times New Roman" w:hAnsi="Times New Roman"/>
          <w:color w:val="000000"/>
          <w:sz w:val="24"/>
          <w:szCs w:val="24"/>
        </w:rPr>
        <w:t>ЭТС НЭП</w:t>
      </w:r>
      <w:r>
        <w:rPr>
          <w:rFonts w:ascii="Times New Roman" w:hAnsi="Times New Roman"/>
        </w:rPr>
        <w:t xml:space="preserve">», закупка № </w:t>
      </w:r>
      <w:r>
        <w:rPr>
          <w:rFonts w:ascii="Times New Roman" w:hAnsi="Times New Roman"/>
          <w:b/>
        </w:rPr>
        <w:t>32514577420.</w:t>
      </w:r>
    </w:p>
    <w:p>
      <w:pPr>
        <w:pStyle w:val="32"/>
        <w:tabs>
          <w:tab w:val="clear" w:pos="1307"/>
        </w:tabs>
        <w:spacing w:before="120" w:after="0"/>
        <w:ind w:left="0" w:right="-30" w:hanging="0"/>
        <w:rPr>
          <w:szCs w:val="24"/>
        </w:rPr>
      </w:pPr>
      <w:r>
        <w:rPr>
          <w:szCs w:val="24"/>
        </w:rPr>
        <w:t xml:space="preserve">Заседание закупочной комиссии проводится в очной форме в 10:10 (время московское) « </w:t>
      </w:r>
      <w:r>
        <w:rPr>
          <w:szCs w:val="24"/>
        </w:rPr>
        <w:t>18</w:t>
      </w:r>
      <w:r>
        <w:rPr>
          <w:szCs w:val="24"/>
        </w:rPr>
        <w:t xml:space="preserve"> » марта 2025 года, по адресу: 662972, РФ, ЗАТО Железногорск, г. Железногорск, Красноярского края, ул. Ленина, д.53.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before="120" w:after="0"/>
        <w:rPr>
          <w:rFonts w:ascii="Times New Roman" w:hAnsi="Times New Roman"/>
        </w:rPr>
      </w:pPr>
      <w:r>
        <w:rPr>
          <w:rFonts w:ascii="Times New Roman" w:hAnsi="Times New Roman"/>
        </w:rPr>
        <w:t>Сведения о составе членов закупочной комиссии приведены в разделе «Закупочная комиссия» настоящего протокола.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before="120" w:after="0"/>
        <w:rPr>
          <w:rFonts w:ascii="Times New Roman" w:hAnsi="Times New Roman"/>
        </w:rPr>
      </w:pPr>
      <w:r>
        <w:rPr>
          <w:rFonts w:ascii="Times New Roman" w:hAnsi="Times New Roman"/>
        </w:rPr>
        <w:t>Заседание проводится в присутствии __</w:t>
      </w:r>
      <w:r>
        <w:rPr>
          <w:rFonts w:ascii="Times New Roman" w:hAnsi="Times New Roman"/>
        </w:rPr>
        <w:t>9</w:t>
      </w:r>
      <w:r>
        <w:rPr>
          <w:rFonts w:ascii="Times New Roman" w:hAnsi="Times New Roman"/>
        </w:rPr>
        <w:t>_ из 10 членов закупочной комиссии. Кворум имеется.</w:t>
      </w:r>
    </w:p>
    <w:p>
      <w:pPr>
        <w:pStyle w:val="Normal"/>
        <w:keepLines w:val="false"/>
        <w:widowControl w:val="false"/>
        <w:numPr>
          <w:ilvl w:val="0"/>
          <w:numId w:val="4"/>
        </w:numPr>
        <w:tabs>
          <w:tab w:val="clear" w:pos="708"/>
          <w:tab w:val="left" w:pos="284" w:leader="none"/>
        </w:tabs>
        <w:spacing w:before="120" w:after="0"/>
        <w:ind w:left="0" w:hanging="0"/>
        <w:rPr>
          <w:rFonts w:ascii="Times New Roman" w:hAnsi="Times New Roman"/>
        </w:rPr>
      </w:pPr>
      <w:r>
        <w:rPr>
          <w:rFonts w:ascii="Times New Roman" w:hAnsi="Times New Roman"/>
        </w:rPr>
        <w:t>На момент окончания срока подачи заявок на участие в закупке на 05:00 (время московское) «12» марта</w:t>
      </w: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</w:rPr>
        <w:t>2025 года на ЭТП АО «</w:t>
      </w:r>
      <w:r>
        <w:rPr>
          <w:rFonts w:ascii="Times New Roman" w:hAnsi="Times New Roman"/>
          <w:color w:val="000000"/>
          <w:sz w:val="24"/>
          <w:szCs w:val="24"/>
        </w:rPr>
        <w:t>ЭТС НЭП</w:t>
      </w:r>
      <w:r>
        <w:rPr>
          <w:rFonts w:ascii="Times New Roman" w:hAnsi="Times New Roman"/>
        </w:rPr>
        <w:t>» всего подано: 1 (одна) заявка на участие в закупке.</w:t>
      </w:r>
    </w:p>
    <w:p>
      <w:pPr>
        <w:pStyle w:val="Normal"/>
        <w:keepNext w:val="true"/>
        <w:widowControl w:val="false"/>
        <w:spacing w:before="120"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Результаты открытия доступа к заявкам на участие в закупке:</w:t>
      </w:r>
    </w:p>
    <w:p>
      <w:pPr>
        <w:pStyle w:val="Normal"/>
        <w:widowControl w:val="false"/>
        <w:rPr>
          <w:rFonts w:ascii="Times New Roman" w:hAnsi="Times New Roman"/>
        </w:rPr>
      </w:pPr>
      <w:r>
        <w:rPr>
          <w:rFonts w:ascii="Times New Roman" w:hAnsi="Times New Roman"/>
        </w:rPr>
        <w:t>Сведения о количестве поданных на участие в открытом запросе предложений заявок: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7" w:type="dxa"/>
        </w:tblCellMar>
        <w:tblLook w:val="04a0" w:noHBand="0" w:noVBand="1" w:firstColumn="1" w:lastRow="0" w:lastColumn="0" w:firstRow="1"/>
      </w:tblPr>
      <w:tblGrid>
        <w:gridCol w:w="997"/>
        <w:gridCol w:w="3534"/>
        <w:gridCol w:w="5504"/>
      </w:tblGrid>
      <w:tr>
        <w:trPr/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rFonts w:ascii="Times New Roman" w:hAnsi="Times New Roman"/>
                <w:bCs/>
                <w:sz w:val="21"/>
                <w:szCs w:val="21"/>
              </w:rPr>
              <w:t>Рег. № заявки на ЭТП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rFonts w:ascii="Times New Roman" w:hAnsi="Times New Roman"/>
                <w:bCs/>
                <w:sz w:val="21"/>
                <w:szCs w:val="21"/>
              </w:rPr>
              <w:t>Участник закупки</w:t>
            </w:r>
          </w:p>
        </w:tc>
        <w:tc>
          <w:tcPr>
            <w:tcW w:w="550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rFonts w:ascii="Times New Roman" w:hAnsi="Times New Roman"/>
                <w:bCs/>
                <w:sz w:val="21"/>
                <w:szCs w:val="21"/>
              </w:rPr>
              <w:t>Сведения заявки на участие в закупке</w:t>
            </w:r>
          </w:p>
        </w:tc>
      </w:tr>
      <w:tr>
        <w:trPr/>
        <w:tc>
          <w:tcPr>
            <w:tcW w:w="99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5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Участник №1</w:t>
            </w:r>
          </w:p>
        </w:tc>
        <w:tc>
          <w:tcPr>
            <w:tcW w:w="550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Дата и время регистрации заявки: </w:t>
            </w:r>
          </w:p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«</w:t>
            </w:r>
            <w:r>
              <w:rPr>
                <w:rFonts w:ascii="Times New Roman" w:hAnsi="Times New Roman"/>
                <w:bCs/>
                <w:lang w:val="en-US"/>
              </w:rPr>
              <w:t>12</w:t>
            </w:r>
            <w:r>
              <w:rPr>
                <w:rFonts w:ascii="Times New Roman" w:hAnsi="Times New Roman"/>
                <w:bCs/>
              </w:rPr>
              <w:t xml:space="preserve">» </w:t>
            </w:r>
            <w:r>
              <w:rPr>
                <w:rFonts w:ascii="Times New Roman" w:hAnsi="Times New Roman"/>
                <w:bCs/>
                <w:lang w:val="ru-RU"/>
              </w:rPr>
              <w:t>марта</w:t>
            </w:r>
            <w:r>
              <w:rPr>
                <w:rFonts w:ascii="Times New Roman" w:hAnsi="Times New Roman"/>
                <w:bCs/>
              </w:rPr>
              <w:t xml:space="preserve"> 202</w:t>
            </w:r>
            <w:r>
              <w:rPr>
                <w:rFonts w:ascii="Times New Roman" w:hAnsi="Times New Roman"/>
                <w:bCs/>
                <w:lang w:val="en-US"/>
              </w:rPr>
              <w:t>5</w:t>
            </w:r>
            <w:r>
              <w:rPr>
                <w:rFonts w:ascii="Times New Roman" w:hAnsi="Times New Roman"/>
                <w:bCs/>
              </w:rPr>
              <w:t xml:space="preserve"> года 0</w:t>
            </w:r>
            <w:r>
              <w:rPr>
                <w:rFonts w:ascii="Times New Roman" w:hAnsi="Times New Roman"/>
                <w:bCs/>
                <w:lang w:val="en-US"/>
              </w:rPr>
              <w:t>2</w:t>
            </w:r>
            <w:r>
              <w:rPr>
                <w:rFonts w:ascii="Times New Roman" w:hAnsi="Times New Roman"/>
                <w:bCs/>
              </w:rPr>
              <w:t>:</w:t>
            </w:r>
            <w:r>
              <w:rPr>
                <w:rFonts w:ascii="Times New Roman" w:hAnsi="Times New Roman"/>
                <w:bCs/>
                <w:lang w:val="en-US"/>
              </w:rPr>
              <w:t>39</w:t>
            </w:r>
            <w:r>
              <w:rPr>
                <w:rFonts w:ascii="Times New Roman" w:hAnsi="Times New Roman"/>
                <w:bCs/>
              </w:rPr>
              <w:t xml:space="preserve"> (время красноярское)</w:t>
            </w:r>
          </w:p>
        </w:tc>
      </w:tr>
    </w:tbl>
    <w:p>
      <w:pPr>
        <w:pStyle w:val="Normal"/>
        <w:tabs>
          <w:tab w:val="clear" w:pos="708"/>
          <w:tab w:val="left" w:pos="426" w:leader="none"/>
        </w:tabs>
        <w:spacing w:before="120" w:after="0"/>
        <w:rPr>
          <w:rFonts w:ascii="Times New Roman" w:hAnsi="Times New Roman"/>
          <w:lang w:eastAsia="en-US"/>
        </w:rPr>
      </w:pPr>
      <w:r>
        <w:rPr>
          <w:rFonts w:eastAsia="Calibri" w:ascii="Times New Roman" w:hAnsi="Times New Roman"/>
        </w:rPr>
        <w:t>В связи с тем, что по окончании срока подачи заявок на участие в закупке подана только одна заявка от одного участника, в соответствии с подпунктом а) пункта 1.1 части 1 статьи 6.4 ЕОСЗ закупка признана несостоявшейся.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426" w:leader="none"/>
        </w:tabs>
        <w:spacing w:before="120" w:after="0"/>
        <w:ind w:left="0" w:hanging="0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Согласно протоколу от 14.03.2024 № 32514577420/1, по результатам рассмотрения первых частей заявок на участие в закупке закупочной комиссией были приняты следующие решения:</w:t>
      </w:r>
    </w:p>
    <w:p>
      <w:pPr>
        <w:pStyle w:val="Normal"/>
        <w:widowControl w:val="false"/>
        <w:numPr>
          <w:ilvl w:val="1"/>
          <w:numId w:val="3"/>
        </w:numPr>
        <w:tabs>
          <w:tab w:val="clear" w:pos="708"/>
          <w:tab w:val="left" w:pos="426" w:leader="none"/>
        </w:tabs>
        <w:spacing w:before="120" w:after="0"/>
        <w:ind w:left="0" w:hanging="0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</w:rPr>
        <w:t>Допустить</w:t>
      </w:r>
      <w:r>
        <w:rPr>
          <w:rFonts w:ascii="Times New Roman" w:hAnsi="Times New Roman"/>
        </w:rPr>
        <w:t xml:space="preserve"> к дальнейшему участию в закупке следующих участников закупки, отвечающих требованиям закупочной документации и подавших заявки на участие в закупке, отвечающие требованиям закупочной документации:</w:t>
      </w:r>
    </w:p>
    <w:p>
      <w:pPr>
        <w:pStyle w:val="Normal"/>
        <w:widowControl w:val="false"/>
        <w:numPr>
          <w:ilvl w:val="2"/>
          <w:numId w:val="3"/>
        </w:numPr>
        <w:tabs>
          <w:tab w:val="clear" w:pos="708"/>
          <w:tab w:val="left" w:pos="426" w:leader="none"/>
        </w:tabs>
        <w:spacing w:before="120" w:after="0"/>
        <w:ind w:left="720" w:hanging="720"/>
        <w:rPr>
          <w:b/>
          <w:bCs/>
        </w:rPr>
      </w:pPr>
      <w:r>
        <w:rPr>
          <w:rFonts w:eastAsia="Times New Roman" w:cs="Times New Roman" w:ascii="Times New Roman" w:hAnsi="Times New Roman"/>
          <w:b/>
          <w:color w:val="auto"/>
          <w:kern w:val="0"/>
          <w:sz w:val="24"/>
          <w:szCs w:val="24"/>
          <w:lang w:val="ru-RU" w:eastAsia="ru-RU" w:bidi="ar-SA"/>
        </w:rPr>
        <w:t>Учас</w:t>
      </w:r>
      <w:r>
        <w:rPr>
          <w:rFonts w:ascii="Times New Roman" w:hAnsi="Times New Roman"/>
          <w:b/>
          <w:bCs/>
        </w:rPr>
        <w:t>тник №1</w:t>
      </w:r>
    </w:p>
    <w:p>
      <w:pPr>
        <w:pStyle w:val="Normal"/>
        <w:keepLines w:val="false"/>
        <w:widowControl w:val="false"/>
        <w:numPr>
          <w:ilvl w:val="1"/>
          <w:numId w:val="3"/>
        </w:numPr>
        <w:spacing w:before="120" w:after="0"/>
        <w:ind w:left="0" w:hanging="0"/>
        <w:rPr>
          <w:rFonts w:ascii="Times New Roman" w:hAnsi="Times New Roman" w:eastAsia="Calibri"/>
        </w:rPr>
      </w:pPr>
      <w:r>
        <w:rPr>
          <w:rFonts w:ascii="Times New Roman" w:hAnsi="Times New Roman"/>
          <w:b w:val="false"/>
          <w:bCs w:val="false"/>
        </w:rPr>
        <w:t>Отказать</w:t>
      </w:r>
      <w:r>
        <w:rPr>
          <w:rFonts w:ascii="Times New Roman" w:hAnsi="Times New Roman"/>
        </w:rPr>
        <w:t xml:space="preserve"> в допуске к дальнейшему участию в закупке следующим участникам закупки, подавшим заявки: –</w:t>
      </w:r>
    </w:p>
    <w:p>
      <w:pPr>
        <w:pStyle w:val="Normal"/>
        <w:widowControl w:val="false"/>
        <w:spacing w:before="120" w:after="0"/>
        <w:rPr>
          <w:sz w:val="22"/>
          <w:szCs w:val="22"/>
        </w:rPr>
      </w:pPr>
      <w:r>
        <w:rPr>
          <w:rFonts w:ascii="Times New Roman" w:hAnsi="Times New Roman"/>
          <w:bCs/>
          <w:i/>
          <w:sz w:val="22"/>
          <w:szCs w:val="22"/>
        </w:rPr>
        <w:t>Количество заявок на участие в закупке, которые отклонены: 0  заявок на участие в закупке.</w:t>
      </w:r>
    </w:p>
    <w:p>
      <w:pPr>
        <w:pStyle w:val="Normal"/>
        <w:numPr>
          <w:ilvl w:val="0"/>
          <w:numId w:val="6"/>
        </w:numPr>
        <w:tabs>
          <w:tab w:val="clear" w:pos="708"/>
          <w:tab w:val="left" w:pos="567" w:leader="none"/>
        </w:tabs>
        <w:spacing w:before="120" w:after="0"/>
        <w:ind w:left="0" w:hanging="0"/>
        <w:rPr>
          <w:rFonts w:ascii="Times New Roman" w:hAnsi="Times New Roman"/>
        </w:rPr>
      </w:pPr>
      <w:r>
        <w:rPr>
          <w:rFonts w:ascii="Times New Roman" w:hAnsi="Times New Roman"/>
        </w:rPr>
        <w:t>Результаты открытия доступа ко вторым частям  заявок на участие в закупке: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Сведения об участниках закупки, подавших вторые части заявок на участие в закупке: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7" w:type="dxa"/>
        </w:tblCellMar>
        <w:tblLook w:val="04a0" w:noHBand="0" w:noVBand="1" w:firstColumn="1" w:lastRow="0" w:lastColumn="0" w:firstRow="1"/>
      </w:tblPr>
      <w:tblGrid>
        <w:gridCol w:w="5384"/>
        <w:gridCol w:w="4650"/>
      </w:tblGrid>
      <w:tr>
        <w:trPr/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465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Дата и время регистрации заявки</w:t>
            </w:r>
          </w:p>
        </w:tc>
      </w:tr>
      <w:tr>
        <w:trPr>
          <w:trHeight w:val="433" w:hRule="atLeast"/>
          <w:cantSplit w:val="true"/>
        </w:trPr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Участник № 1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  <w:t>ИП МИХАЙЛОВ ЮРИЙ ВЛАДИМИРОВИЧ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67" w:leader="none"/>
              </w:tabs>
              <w:ind w:left="142" w:hanging="0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ИНН 143301914918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662971, Россия, Красноярский край, г. Железногорск, Советская ул, 30, кв. 28</w:t>
            </w:r>
          </w:p>
        </w:tc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Дата и время </w:t>
            </w:r>
            <w:r>
              <w:rPr>
                <w:rFonts w:ascii="Times New Roman" w:hAnsi="Times New Roman"/>
                <w:b/>
                <w:bCs/>
              </w:rPr>
              <w:t xml:space="preserve">поступления </w:t>
            </w:r>
            <w:r>
              <w:rPr>
                <w:rFonts w:ascii="Times New Roman" w:hAnsi="Times New Roman"/>
                <w:b/>
              </w:rPr>
              <w:t>заявки:</w:t>
            </w:r>
          </w:p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«</w:t>
            </w:r>
            <w:r>
              <w:rPr>
                <w:rFonts w:ascii="Times New Roman" w:hAnsi="Times New Roman"/>
                <w:bCs/>
                <w:lang w:val="en-US"/>
              </w:rPr>
              <w:t>12</w:t>
            </w:r>
            <w:r>
              <w:rPr>
                <w:rFonts w:ascii="Times New Roman" w:hAnsi="Times New Roman"/>
                <w:bCs/>
              </w:rPr>
              <w:t xml:space="preserve">» </w:t>
            </w:r>
            <w:r>
              <w:rPr>
                <w:rFonts w:ascii="Times New Roman" w:hAnsi="Times New Roman"/>
                <w:bCs/>
                <w:lang w:val="ru-RU"/>
              </w:rPr>
              <w:t>марта</w:t>
            </w:r>
            <w:r>
              <w:rPr>
                <w:rFonts w:ascii="Times New Roman" w:hAnsi="Times New Roman"/>
                <w:bCs/>
              </w:rPr>
              <w:t xml:space="preserve"> 202</w:t>
            </w:r>
            <w:r>
              <w:rPr>
                <w:rFonts w:ascii="Times New Roman" w:hAnsi="Times New Roman"/>
                <w:bCs/>
                <w:lang w:val="en-US"/>
              </w:rPr>
              <w:t>5</w:t>
            </w:r>
            <w:r>
              <w:rPr>
                <w:rFonts w:ascii="Times New Roman" w:hAnsi="Times New Roman"/>
                <w:bCs/>
              </w:rPr>
              <w:t xml:space="preserve"> года 0</w:t>
            </w:r>
            <w:r>
              <w:rPr>
                <w:rFonts w:ascii="Times New Roman" w:hAnsi="Times New Roman"/>
                <w:bCs/>
                <w:lang w:val="en-US"/>
              </w:rPr>
              <w:t>2</w:t>
            </w:r>
            <w:r>
              <w:rPr>
                <w:rFonts w:ascii="Times New Roman" w:hAnsi="Times New Roman"/>
                <w:bCs/>
              </w:rPr>
              <w:t>:</w:t>
            </w:r>
            <w:r>
              <w:rPr>
                <w:rFonts w:ascii="Times New Roman" w:hAnsi="Times New Roman"/>
                <w:bCs/>
                <w:lang w:val="en-US"/>
              </w:rPr>
              <w:t>39</w:t>
            </w:r>
            <w:r>
              <w:rPr>
                <w:rFonts w:ascii="Times New Roman" w:hAnsi="Times New Roman"/>
                <w:bCs/>
              </w:rPr>
              <w:t xml:space="preserve"> (время красноярское)</w:t>
            </w:r>
          </w:p>
        </w:tc>
      </w:tr>
    </w:tbl>
    <w:p>
      <w:pPr>
        <w:pStyle w:val="Normal"/>
        <w:widowControl w:val="false"/>
        <w:numPr>
          <w:ilvl w:val="0"/>
          <w:numId w:val="6"/>
        </w:numPr>
        <w:tabs>
          <w:tab w:val="clear" w:pos="708"/>
          <w:tab w:val="left" w:pos="426" w:leader="none"/>
        </w:tabs>
        <w:spacing w:before="240" w:after="0"/>
        <w:ind w:left="0" w:hanging="0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Согласно протоколу от 18.03.2024 № 32514577420/2, п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 результатам рассмотрения вторых частей заявок на участие в закупке закупочной комиссией были приняты следующие решения:</w:t>
      </w:r>
    </w:p>
    <w:p>
      <w:pPr>
        <w:pStyle w:val="Normal"/>
        <w:widowControl w:val="false"/>
        <w:numPr>
          <w:ilvl w:val="1"/>
          <w:numId w:val="6"/>
        </w:numPr>
        <w:tabs>
          <w:tab w:val="clear" w:pos="708"/>
          <w:tab w:val="left" w:pos="426" w:leader="none"/>
        </w:tabs>
        <w:spacing w:before="120" w:after="0"/>
        <w:ind w:left="0" w:hanging="0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</w:rPr>
        <w:t>Допустить</w:t>
      </w:r>
      <w:r>
        <w:rPr>
          <w:rFonts w:ascii="Times New Roman" w:hAnsi="Times New Roman"/>
        </w:rPr>
        <w:t xml:space="preserve"> к дальнейшему участию в закупке следующих участников закупки, отвечающих требованиям закупочной документации и подавших заявки на участие в закупке, отвечающие требованиям закупочной документации:</w:t>
      </w:r>
    </w:p>
    <w:p>
      <w:pPr>
        <w:pStyle w:val="Normal"/>
        <w:widowControl w:val="false"/>
        <w:numPr>
          <w:ilvl w:val="2"/>
          <w:numId w:val="6"/>
        </w:numPr>
        <w:tabs>
          <w:tab w:val="clear" w:pos="708"/>
          <w:tab w:val="left" w:pos="426" w:leader="none"/>
        </w:tabs>
        <w:spacing w:before="120" w:after="0"/>
        <w:ind w:left="0" w:hanging="0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4"/>
          <w:szCs w:val="24"/>
          <w:u w:val="none"/>
          <w:lang w:val="ru-RU" w:eastAsia="ru-RU" w:bidi="ar-SA"/>
        </w:rPr>
        <w:t>ИП МИХАЙЛОВ ЮРИЙ ВЛАДИМИРОВИЧ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360" w:leader="none"/>
        </w:tabs>
        <w:spacing w:before="120" w:after="0"/>
        <w:ind w:left="0" w:hanging="0"/>
        <w:rPr>
          <w:b w:val="false"/>
          <w:b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u w:val="none"/>
          <w:lang w:val="ru-RU" w:eastAsia="ru-RU" w:bidi="ar-SA"/>
        </w:rPr>
        <w:t xml:space="preserve">В связи с тем, что по результатам рассмотрения заявок принято решение о допуске только одного участника закупки, в соответствии с подпунктом б) пункта 1.2 части 1 статьи 6.4 ЕОСЗ закупка признана несостоявшейся. 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  <w:tab w:val="left" w:pos="360" w:leader="none"/>
        </w:tabs>
        <w:spacing w:before="120" w:after="0"/>
        <w:ind w:left="0" w:hanging="0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Информация о ценовом предложении участника:</w:t>
      </w:r>
    </w:p>
    <w:tbl>
      <w:tblPr>
        <w:tblW w:w="10063" w:type="dxa"/>
        <w:jc w:val="left"/>
        <w:tblInd w:w="-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793"/>
        <w:gridCol w:w="4532"/>
        <w:gridCol w:w="3119"/>
        <w:gridCol w:w="1618"/>
      </w:tblGrid>
      <w:tr>
        <w:trPr>
          <w:trHeight w:val="907" w:hRule="atLeast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rFonts w:ascii="Times New Roman" w:hAnsi="Times New Roman"/>
                <w:bCs/>
                <w:sz w:val="21"/>
                <w:szCs w:val="21"/>
              </w:rPr>
              <w:t>Рег.№ заявки на ЭТП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rFonts w:ascii="Times New Roman" w:hAnsi="Times New Roman"/>
                <w:bCs/>
                <w:sz w:val="21"/>
                <w:szCs w:val="21"/>
              </w:rPr>
              <w:t>Участник закупки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before="0" w:after="0"/>
              <w:contextualSpacing/>
              <w:jc w:val="center"/>
              <w:rPr>
                <w:sz w:val="21"/>
                <w:szCs w:val="21"/>
              </w:rPr>
            </w:pPr>
            <w:r>
              <w:rPr>
                <w:rFonts w:cs="Times New Roman" w:ascii="XO Thames" w:hAnsi="XO Thames"/>
                <w:bCs/>
                <w:kern w:val="0"/>
                <w:sz w:val="21"/>
                <w:szCs w:val="21"/>
                <w:lang w:val="ru-RU" w:bidi="ar-SA"/>
              </w:rPr>
              <w:t>Ценовое предложение с НДС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Cs/>
                <w:sz w:val="21"/>
                <w:szCs w:val="21"/>
              </w:rPr>
              <w:t>Ставка НДС</w:t>
            </w:r>
          </w:p>
        </w:tc>
      </w:tr>
      <w:tr>
        <w:trPr>
          <w:trHeight w:val="496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453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  <w:t>ИП МИХАЙЛОВ ЮРИЙ ВЛАДИМИРОВИЧ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67" w:leader="none"/>
              </w:tabs>
              <w:ind w:left="142" w:hanging="0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ИНН 143301914918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662971, Россия, Красноярский край, г. Железногорск, Советская ул, 30, кв. 28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Предельная стоимость по договору 7 000 000,00 руб.*</w:t>
            </w:r>
          </w:p>
        </w:tc>
        <w:tc>
          <w:tcPr>
            <w:tcW w:w="1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без НДС</w:t>
            </w:r>
          </w:p>
        </w:tc>
      </w:tr>
    </w:tbl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360" w:leader="none"/>
        </w:tabs>
        <w:spacing w:before="120" w:after="0"/>
        <w:ind w:left="0" w:hanging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  <w:tab w:val="left" w:pos="360" w:leader="none"/>
        </w:tabs>
        <w:spacing w:before="120" w:after="0"/>
        <w:ind w:left="0" w:hanging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Заказчиком принято решение о заключении договора с единственным участником закупки </w:t>
      </w:r>
      <w:r>
        <w:rPr>
          <w:rFonts w:ascii="Times New Roman" w:hAnsi="Times New Roman"/>
          <w:b/>
          <w:bCs/>
        </w:rPr>
        <w:t>ИП Михайлов Ю.В</w:t>
      </w:r>
      <w:r>
        <w:rPr>
          <w:rFonts w:ascii="Times New Roman" w:hAnsi="Times New Roman"/>
          <w:bCs/>
        </w:rPr>
        <w:t>. ИНН 143301914918 ОГРНИП 314245232900010 (662971, Красноярский край, г. Железногорск, ул. Советская, дом 30, кв. 28) с ценами за единицу каждой услуги, указанными в приложении 1 к протоколу №32514577420/3</w:t>
      </w:r>
      <w:r>
        <w:br w:type="page"/>
      </w:r>
    </w:p>
    <w:p>
      <w:pPr>
        <w:pStyle w:val="Normal"/>
        <w:widowControl w:val="false"/>
        <w:spacing w:before="120" w:after="0"/>
        <w:ind w:left="426" w:hanging="142"/>
        <w:rPr>
          <w:rFonts w:ascii="Times New Roman" w:hAnsi="Times New Roman"/>
          <w:b/>
          <w:bCs/>
          <w:sz w:val="20"/>
          <w:szCs w:val="20"/>
          <w:u w:val="single"/>
        </w:rPr>
      </w:pPr>
      <w:r>
        <w:rPr>
          <w:rFonts w:ascii="Times New Roman" w:hAnsi="Times New Roman"/>
          <w:b/>
          <w:bCs/>
          <w:sz w:val="20"/>
          <w:szCs w:val="20"/>
          <w:u w:val="single"/>
        </w:rPr>
        <w:t xml:space="preserve">Закупочная комиссия: </w:t>
      </w:r>
    </w:p>
    <w:p>
      <w:pPr>
        <w:pStyle w:val="Normal"/>
        <w:ind w:left="284" w:hanging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>
      <w:pPr>
        <w:pStyle w:val="Normal"/>
        <w:numPr>
          <w:ilvl w:val="0"/>
          <w:numId w:val="2"/>
        </w:numPr>
        <w:ind w:left="0" w:firstLine="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подтверждает объективность принимаемых решений;</w:t>
      </w:r>
    </w:p>
    <w:p>
      <w:pPr>
        <w:pStyle w:val="Normal"/>
        <w:numPr>
          <w:ilvl w:val="0"/>
          <w:numId w:val="2"/>
        </w:numPr>
        <w:ind w:left="0" w:firstLine="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заявляет об отсутствии личной заинтересованности в исходе закупки;</w:t>
      </w:r>
    </w:p>
    <w:p>
      <w:pPr>
        <w:pStyle w:val="Normal"/>
        <w:numPr>
          <w:ilvl w:val="0"/>
          <w:numId w:val="2"/>
        </w:numPr>
        <w:ind w:left="0" w:firstLine="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принимает на себя обязательства:</w:t>
      </w:r>
    </w:p>
    <w:p>
      <w:pPr>
        <w:pStyle w:val="Normal"/>
        <w:numPr>
          <w:ilvl w:val="0"/>
          <w:numId w:val="2"/>
        </w:numPr>
        <w:ind w:left="0" w:firstLine="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>
      <w:pPr>
        <w:pStyle w:val="Normal"/>
        <w:numPr>
          <w:ilvl w:val="0"/>
          <w:numId w:val="2"/>
        </w:numPr>
        <w:ind w:left="0" w:firstLine="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>
      <w:pPr>
        <w:pStyle w:val="Normal"/>
        <w:numPr>
          <w:ilvl w:val="0"/>
          <w:numId w:val="2"/>
        </w:numPr>
        <w:ind w:left="0" w:firstLine="284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4a0" w:noHBand="0" w:noVBand="1" w:firstColumn="1" w:lastRow="0" w:lastColumn="0" w:firstRow="1"/>
      </w:tblPr>
      <w:tblGrid>
        <w:gridCol w:w="2499"/>
        <w:gridCol w:w="5555"/>
        <w:gridCol w:w="1981"/>
      </w:tblGrid>
      <w:tr>
        <w:trPr/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>
        <w:trPr/>
        <w:tc>
          <w:tcPr>
            <w:tcW w:w="10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lang w:val="ru-RU"/>
              </w:rPr>
              <w:t>Председатель</w:t>
            </w:r>
            <w:r>
              <w:rPr>
                <w:rFonts w:ascii="Times New Roman" w:hAnsi="Times New Roman"/>
                <w:b/>
                <w:bCs/>
              </w:rPr>
              <w:t xml:space="preserve"> закупочной комиссии: </w:t>
            </w:r>
          </w:p>
        </w:tc>
      </w:tr>
      <w:tr>
        <w:trPr>
          <w:trHeight w:val="567" w:hRule="atLeast"/>
        </w:trPr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А.</w:t>
            </w:r>
            <w:r>
              <w:rPr>
                <w:rFonts w:ascii="Times New Roman" w:hAnsi="Times New Roman"/>
                <w:lang w:val="en-US"/>
              </w:rPr>
              <w:t>Ю. Марков</w:t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предприятия по материально-техническому снабжению и комплектации оборудования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>
        <w:trPr>
          <w:trHeight w:val="567" w:hRule="atLeast"/>
        </w:trPr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закупочной комиссии (с </w:t>
            </w:r>
            <w:r>
              <w:rPr>
                <w:rFonts w:ascii="Times New Roman" w:hAnsi="Times New Roman"/>
                <w:b/>
                <w:i/>
              </w:rPr>
              <w:t>правом голоса</w:t>
            </w:r>
            <w:r>
              <w:rPr>
                <w:rFonts w:ascii="Times New Roman" w:hAnsi="Times New Roman"/>
                <w:b/>
                <w:bCs/>
              </w:rPr>
              <w:t xml:space="preserve">): </w:t>
            </w:r>
          </w:p>
        </w:tc>
      </w:tr>
      <w:tr>
        <w:trPr>
          <w:trHeight w:val="567" w:hRule="atLeast"/>
        </w:trPr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А.Л. Лебедева</w:t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Эксперт по закупкам группы сопровождения закупочных процедур (собственные и внебюджетные средства) отдела закупок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</w:tbl>
    <w:p>
      <w:pPr>
        <w:pStyle w:val="Normal"/>
        <w:widowControl w:val="false"/>
        <w:spacing w:before="120" w:after="0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Проверено: Юрисконсульт ОЗ______________________Н.В. Смирнова</w:t>
      </w:r>
    </w:p>
    <w:p>
      <w:pPr>
        <w:pStyle w:val="Normal"/>
        <w:widowControl w:val="false"/>
        <w:spacing w:before="120" w:after="0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Исполнитель: Специалист ОЗ ______________________</w:t>
      </w:r>
      <w:r>
        <w:rPr>
          <w:rFonts w:eastAsia="Calibri" w:ascii="Times New Roman" w:hAnsi="Times New Roman"/>
          <w:lang w:val="en-US"/>
        </w:rPr>
        <w:t>М.М. Хмелевская</w:t>
      </w:r>
    </w:p>
    <w:p>
      <w:pPr>
        <w:pStyle w:val="Normal"/>
        <w:keepLines w:val="false"/>
        <w:widowControl w:val="false"/>
        <w:rPr>
          <w:rFonts w:ascii="Times New Roman" w:hAnsi="Times New Roman" w:eastAsia="Calibri"/>
          <w:b/>
        </w:rPr>
      </w:pPr>
      <w:r>
        <w:rPr>
          <w:rFonts w:eastAsia="Calibri" w:ascii="Times New Roman" w:hAnsi="Times New Roman"/>
          <w:b/>
        </w:rPr>
      </w:r>
      <w:r>
        <w:br w:type="page"/>
      </w:r>
    </w:p>
    <w:p>
      <w:pPr>
        <w:pStyle w:val="Normal"/>
        <w:widowControl w:val="false"/>
        <w:suppressLineNumbers/>
        <w:jc w:val="right"/>
        <w:rPr/>
      </w:pPr>
      <w:r>
        <w:rPr>
          <w:rFonts w:eastAsia="Calibri" w:ascii="Times New Roman" w:hAnsi="Times New Roman"/>
          <w:b/>
        </w:rPr>
        <w:t>Приложение №1 к прот</w:t>
      </w:r>
      <w:r>
        <w:rPr>
          <w:rFonts w:eastAsia="Calibri" w:cs="Times New Roman" w:ascii="Times New Roman" w:hAnsi="Times New Roman"/>
          <w:b/>
          <w:color w:val="auto"/>
          <w:kern w:val="0"/>
          <w:sz w:val="24"/>
          <w:szCs w:val="24"/>
          <w:lang w:val="ru-RU" w:eastAsia="ru-RU" w:bidi="ar-SA"/>
        </w:rPr>
        <w:t>околу№ 32514577420/3</w:t>
      </w:r>
    </w:p>
    <w:tbl>
      <w:tblPr>
        <w:tblW w:w="10065" w:type="dxa"/>
        <w:jc w:val="left"/>
        <w:tblInd w:w="-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795"/>
        <w:gridCol w:w="2729"/>
        <w:gridCol w:w="4920"/>
        <w:gridCol w:w="1620"/>
      </w:tblGrid>
      <w:tr>
        <w:trPr>
          <w:trHeight w:val="907" w:hRule="atLeast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rFonts w:ascii="Times New Roman" w:hAnsi="Times New Roman"/>
                <w:bCs/>
                <w:sz w:val="21"/>
                <w:szCs w:val="21"/>
              </w:rPr>
              <w:t xml:space="preserve">№ </w:t>
            </w:r>
            <w:r>
              <w:rPr>
                <w:rFonts w:ascii="Times New Roman" w:hAnsi="Times New Roman"/>
                <w:bCs/>
                <w:sz w:val="21"/>
                <w:szCs w:val="21"/>
              </w:rPr>
              <w:t>п/п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rFonts w:ascii="Times New Roman" w:hAnsi="Times New Roman"/>
                <w:bCs/>
                <w:sz w:val="21"/>
                <w:szCs w:val="21"/>
              </w:rPr>
              <w:t>Участник закупки</w:t>
            </w:r>
          </w:p>
        </w:tc>
        <w:tc>
          <w:tcPr>
            <w:tcW w:w="4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before="0" w:after="0"/>
              <w:contextualSpacing/>
              <w:jc w:val="center"/>
              <w:rPr>
                <w:sz w:val="21"/>
                <w:szCs w:val="21"/>
              </w:rPr>
            </w:pPr>
            <w:r>
              <w:rPr>
                <w:rFonts w:cs="Times New Roman" w:ascii="XO Thames" w:hAnsi="XO Thames"/>
                <w:bCs/>
                <w:kern w:val="0"/>
                <w:sz w:val="21"/>
                <w:szCs w:val="21"/>
                <w:lang w:val="ru-RU" w:bidi="ar-SA"/>
              </w:rPr>
              <w:t>Наименование услуги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Cs/>
                <w:sz w:val="21"/>
                <w:szCs w:val="21"/>
              </w:rPr>
              <w:t>Ценовое предложение, сделанное участником закупки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  <w:t>1.</w:t>
            </w:r>
          </w:p>
        </w:tc>
        <w:tc>
          <w:tcPr>
            <w:tcW w:w="272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  <w:t>ИП МИХАЙЛОВ ЮРИЙ ВЛАДИМИРОВИЧ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67" w:leader="none"/>
              </w:tabs>
              <w:ind w:left="142" w:hanging="0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ИНН 143301914918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662971, Россия, Красноярский край, г. Железногорск, Советская ул, 30, кв. 28</w:t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7 мест)</w:t>
              <w:br/>
              <w:t xml:space="preserve">г. Красноярск, ул. Красноярский рабочий, 59 (Возрождение кредит) п. Березовка, перекресток ул. Дружба-Кирова - п. Есаулово, перекресток ул. Ворошилова-Майская - г. Железногорск, ул. Октябрьская 31- зд.28; ОДЦ - ул. Октябрьская 31 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3 000,00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 xml:space="preserve">г. Красноярск, ул. Красноярский рабочий, 59 (Возрождение кредит) п. Березовка, перекресток ул. Дружба-Кирова - п. Есаулово, перекресток ул. Ворошилова-Майская - г. Железногорск, ул. Октябрьская 31- зд.28; ОДЦ - ул. Октябрьская 31 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4 500,00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Сосновоборск, пр. Мира, 3 - г. Сосновоборск, ул. Ленинского комсомола, ост. Сбербанк - г. Сосновоборск, ул. Ленинского комсомола, ост. Солнышко - п. Подгорный, ул. Строительная, 27 - г. Железногорск, пос. Первомайский, ул. Поселковая, 28</w:t>
              <w:br/>
              <w:t>- г. Железногорск, пос. Первомайский, ул. Белорусская - г. Железногорск, пос. Первомайский, ул. Толстого (ПАТП) - г. Железногорск, ул. Красноярская - зд.20; ИХЗ - зд.28; ОДЦ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3 750,00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Сосновоборск, пр. Мира, 3 - г. Сосновоборск, ул. Ленинского комсомола, ост. Сбербанк - г. Сосновоборск, ул. Ленинского комсомола, ост. Солнышко - п. Подгорный, ул. Строительная, 27 - г. Железногорск, пос. Первомайский, ул. Поселковая, 28 - г. Железногорск, пос. Первомайский, ул. Белорусская - г. Железногорск, пос. Первомайский, ул. Толстого (ПАТП) - г. Железногорск, ул. Красноярская - зд.20; ИХЗ - зд.28; ОДЦ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5 000,00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 xml:space="preserve">г. Сосновоборск, пр. Мира, 3 - г. Сосновоборск, ул. Ленинского комсомола, ост. Сбербанк - г. Сосновоборск, ул. Ленинского комсомола, ост. Солнышко - п. Подгорный, ул. Строительная, 27 - г. Железногорск, пос. Первомайский, ул. Поселковая, 28 - г. Железногорск, пос. Первомайский, ул. Белорусская - г. Железногорск, пос. Первомайский, ул. Толстого (ПАТП) - г. Железногорск, ул. Красноярская - зд.20; ИХЗ - зд.28; ОДЦ 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7 000,00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Железногорск, ул. Красноярская, 15 - г. Железногорск, ул. Лысенко, 14 - г. Железногорск, ул. Советской Армии, столовая «Арктика»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1 500,00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Железногорск, ул. Красноярская, 15 - г. Железногорск, ул. Лысенко, 14 - г. Железногорск, ул. Советской Армии, столовая «Арктика»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2 000,00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ул. Красноярская, 15 - г. Железногорск, ул. Лысенко, 14 - г. Железногорск, ул. Советской Армии, столовая «Арктика»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2 800,00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г. Железногорск, ул. Лысенко, 14 - г. Железногорск, ул. 60 лет ВЛКСМ - г. Железногорск, пр. Ленинградский, ост. «Эскадра» - г. Железногорск, пр. Курчатова - г. Железногорск, ул. Ленина - г. Железногорск, ул. Загородная, КПП №4 - зд.20; ИХЗ - зд.28; ОДЦ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3 000,00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Железногорск, ул. Лысенко, 14 - г. Железногорск, ул. 60 лет ВЛКСМ - г. Железногорск, пр. Ленинградский, ост. «Эскадра» - г. Железногорск, пр. Курчатова - г. Железногорск, ул. Ленина - г. Железногорск, ул. Загородная, КПП №4 - зд.20; ИХЗ - зд.28; ОДЦ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4 000,00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ул. Лысенко, 14 - г. Железногорск, ул. 60 лет ВЛКСМ - г. Железногорск, пр. Ленинградский, ост. «Эскадра» - г. Железногорск, пр. Курчатова - г. Железногорск, ул. Ленина - г. Железногорск, ул. Загородная, КПП №4 - зд.20; ИХЗ - зд.28; ОДЦ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5 600,00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зд.28; ОДЦ - зд.20; ИХЗ - г. Железногорск, ул. Ленина - г. Железногорск, пр. Курчатова - г. Железногорск, пр. Ленинградский - г. Железногорск, пос. Первомайский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3 000,00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зд.28; ОДЦ - зд.20; ИХЗ - г. Железногорск, ул. Ленина - г. Железногорск, пр. Курчатова - г. Железногорск, пр. Ленинградский - г. Железногорск, пос. Первомайский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4 000,00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зд.28; ОДЦ - зд.20; ИХЗ - г. Железногорск, ул. Ленина - г. Железногорск, пр. Курчатова - г. Железногорск, пр. Ленинградский - г. Железногорск, пос. Первомайский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5 600,00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7 мест)</w:t>
              <w:br/>
              <w:t>зд.28; ОДЦ - г. Железногорск, ул. Советской Армии, столовая «Арктика» - г. п. Есаулово, перекресток ул. Ворошилова-Майская - п. Березовка, перекресток ул. Дружба-Кирова - г. Красноярск, ул. Красноярский рабочий, 59 (Возрождение кредит)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3 500,00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зд.28; ОДЦ - г. Железногорск, ул. Советской Армии, столовая «Арктика» - г. п. Есаулово, перекресток ул. Ворошилова-Майская - п. Березовка, перекресток ул. Дружба-Кирова - г. Красноярск, ул. Красноярский рабочий, 59 (Возрождение кредит)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5 200,00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зд.28; ОДЦ - зд.20; ИХЗ - г. Железногорск, ул. Ленина, ост. к/т «Спартак»</w:t>
              <w:br/>
              <w:t>- г. Железногорск, пр. Курчатова - г. Железногорск, ул. 60 лет ВЛКСМ, ост. «Снежинка» - г. Железногорск, пр. Ленинградский - г. Железногорск, ул. Лысенко, 14 - г. Железногорск, пос. Первомайский - п. Подгорный, ул. Строительная, 27 - г. Сосновоборск, ул. Ленинского комсомола, ост. Солнышко - г. Сосновоборск, ул. Ленинского комсомола, ост. Сбербанк - г. Сосновоборск, пр. Мира, 3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4 500,00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зд.28; ОДЦ - зд.20; ИХЗ - г. Железногорск, ул. Ленина, ост. к/т «Спартак» - г. Железногорск, пр. Курчатова - г. Железногорск, ул. 60 лет ВЛКСМ, ост. «Снежинка» - г. Железногорск, пр. Ленинградский - г. Железногорск, ул. Лысенко, 14 - г. Железногорск, пос. Первомайский - п. Подгорный, ул. Строительная, 27 - г. Сосновоборск, ул. Ленинского комсомола, ост. Солнышко - г. Сосновоборск, ул. Ленинского комсомола, ост. Сбербанк - г. Сосновоборск, пр. Мира, 3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6 000,00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зд.28; ОДЦ - зд.20; ИХЗ - г. Железногорск, ул. Ленина, ост. к/т «Спартак» - г. Железногорск, пр. Курчатова - г. Железногорск, ул. 60 лет ВЛКСМ, ост. «Снежинка» - г. Железногорск, пр. Ленинградский - г. Железногорск, ул. Лысенко, 14 - г. Железногорск, пос. Первомайский - п. Подгорный, ул. Строительная, 27 - г. Сосновоборск, ул. Ленинского комсомола, ост. Солнышко - г. Сосновоборск, ул. Ленинского комсомола, ост. Сбербанк - г. Сосновоборск, пр. Мира, 3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8 400,00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34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Железногорск, ул. Советской Армии, столовая «Арктика» - г. Железногорск, ул. Южная, 18 Д, маг. «Хороший» - г. Железногорск, ул. Красноярская, 15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1 500,00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Железногорск, ул. Советской Армии, столовая «Арктика» - г. Железногорск, ул. Южная, 18 Д, маг. «Хороший» - г. Железногорск, ул. Красноярская, 15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2 000,00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ул. Советской Армии, столовая «Арктика» - г. Железногорск, ул. Южная, 18 Д, маг. «Хороший» - г. Железногорск, ул. Красноярская, 15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2 800,00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зд.28; ОДЦ - г. Железногорск, ул. Лысенко, 14 - г. Железногорск, ул. Красноярская, 15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2 250,00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зд.28; ОДЦ - г. Железногорск, ул. Лысенко, 14 - г. Железногорск, ул. Красноярская, 15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3 000,00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зд.28; ОДЦ - г. Железногорск, ул. Лысенко, 14 - г. Железногорск, ул. Красноярская, 15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4 200,00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КПП №1 ГХК - г. Железногорск, ул. Ленина - г. Железногорск, пр. Курчатова - г. Железногорск, пр. Ленинградский - г. Железногорск, ул. Красноярская, 15 - г. Железногорск, ул. Лысенко, 14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1 500,00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КПП №1 ГХК - г. Железногорск, ул. Ленина - г. Железногорск, пр. Курчатова - г. Железногорск, пр. Ленинградский - г. Железногорск, ул. Крас-ноярская, 15 - г. Железногорск, ул. Лысенко, 14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2 000,00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КПП №1 ГХК - г. Железногорск, ул. Ленина - г. Железногорск, пр. Курчатова - г. Железногорск, пр. Ленинградский - г. Железногорск, ул. Красноярская, 15 - г. Железногорск, ул. Лысенко, 14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2 800,00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п. Подгорный, ул. Строительная, 27 - г. Сосновоборск, ост. Серебряный ключ - г. Сосновоборск, пр. Мира, 3 - г. Сосновоборск, ул. Ленинского комсомола, ост. Сбербанк - г. Сосновоборск, ул. Ленинского комсомола, ост. Солнышко - г. Железногорск, пос. Первомайский, ул. Белорусская - г. Железногорск, пос. Первомайский, ул. Толстого - г. Железногорск, ул. Южная - г. Железногорск, пр. Ленинградский - г. Железногорск, пр. Курчатова - г. Железногорск, ул. Ленина - г. Железногорск, ул. Советской Армии, столовая «Арктика»</w:t>
              <w:br/>
              <w:t>маг. «Хороший» - г. Железногорск, ул. Красноярская, 15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3 000,00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п. Подгорный, ул. Строительная, 27 - г. Сосновоборск, ост. Серебряный ключ - г. Сосновоборск, пр. Мира, 3 - г. Сосновоборск, ул. Ленинского комсомола, ост. Сбербанк - г. Сосновоборск, ул. Ленинского комсомола, ост. Солнышко - г. Железногорск, пос. Первомайский, ул. Белорусская - г. Железногорск, пос. Первомайский, ул. Толстого - г. Железногорск, ул. Южная - г. Железногорск, пр. Ленинградский - г. Железногорск, пр. Курчатова - г. Железногорск, ул. Ленина - г. Железногорск, ул. Советской Армии, столовая «Арктика» маг. «Хороший» - г. Железногорск, ул. Красноярская, 15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4 000,00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п. Подгорный, ул. Строительная, 27 - г. Сосновоборск, ост. Серебряный ключ - г. Сосновоборск, пр. Мира, 3 - г. Сосновоборск, ул. Ленинского комсомола, ост. Сбербанк - г. Сосновоборск, ул. Ленинского комсомола, ост. Солнышко - г. Железногорск, пос. Первомайский, ул. Белорусская - г. Железногорск, пос. Первомайский, ул. Толстого - г. Железногорск, ул. Южная - г. Железногорск, пр. Ленинградский - г. Железногорск, пр. Курчатова - г. Железногорск, ул. Ленина - г. Железногорск, ул. Советской Армии, столовая «Арктика» маг. «Хороший» - г. Железногорск, ул. Красноярская, 15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5 600,00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Железногорск, ул. Советской Армии, столовая «Арктика» - г. Железногорск, ул. Ленина, ост. к/т «Спартак» - г. Железногорск, пр. Курчатова - г. Железногорск, пр. Ленинградский - г. Железногорск, ул. Южная - г. Железногорск, пос. Первомайский, ул. Толстого (ПАТП) - г. Железногорск, пос. Первомайский, ул. Толстого, 13 - г. Железногорск, пос. Первомайский, ул. Белорусская - г. Сосновоборск, ост. Серебряный ключ - г. Сосновоборск, пр. Мира, 3 - г. Сосновоборск, ул. Ленинского комсомола, ост. Сбербанк - г. Сосновоборск, ул. Ленинского комсомола, ост. Солнышко - п. Подгорный, ул. Строительная, 27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3 000,00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Железногорск, ул. Советской Армии, столовая «Арктика» - г. Железногорск, ул. Ленина, ост. к/т «Спартак» - г. Железногорск, пр. Курчатова - г. Железногорск, пр. Ленинградский - г. Железногорск, ул. Южная - г. Железногорск, пос. Первомайский, ул. Толстого (ПАТП) - г. Железногорск, пос. Первомайский, ул. Толстого, 13 - г. Железногорск, пос. Первомайский, ул. Белорусская - г. Сосновоборск, ост. Серебряный ключ - г. Сосновоборск, пр. Мира, 3 - г. Сосновоборск, ул. Ленинского комсомола, ост. Сбербанк - г. Сосновоборск, ул. Ленинского комсомола, ост. Солнышко - п. Подгорный, ул. Строительная, 27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4 000,00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ул. Советской Армии, столовая «Арктика» - г. Железногорск, ул. Ленина, ост. к/т «Спартак» - г. Железногорск, пр. Курчатова - г. Железногорск, пр. Ленинградский - г. Железногорск, ул. Южная - г. Железногорск, пос. Первомайский, ул. Толстого (ПАТП) - г. Железногорск, пос. Первомайский, ул. Толстого, 13 - г. Железногорск, пос. Первомайский, ул. Белорусская - г. Сосновоборск, ост. Серебряный ключ - г. Сосновоборск, пр. Мира, 3 - г. Сосновоборск, ул. Ленинского комсомола, ост. Сбербанк - г. Сосновоборск, ул. Ленинского комсомола, ост. Солнышко - п. Подгорный, ул. Строительная, 27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5 600,00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Железногорск, ул. Советской Армии, столовая «Арктика» - г. Железногорск, ул. Южная, 18 Д, маг. «Хороший» - г. Железногорск, пр. Ленинградский - г. Железногорск, пр. Курчатова - г. Железногорск, ул. Ленина - г. Железногорск, ул. Южная, 18 Д, маг. «Хороший» - г. Железногорск, ул. Красноярская, 15 - г. Железногорск, пр. Курчатова - г. Железногорск, ул. 60 лет ВЛКСМ, ост. «Снежинка» - г. Железногорск, пр. Ленинградский - г. Железногорск, ул. Лысенко, 14 - г. Железногорск, пос. Первомайский - п. Подгорный, ул. Строительная, 27 - г. Сосновоборск, ул. Ленинского комсомола, ост. Солнышко - г. Сосновоборск, ул. Ленинского комсомола, ост. Сбербанк - г. Сосновоборск, пр. Мира, 3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2 250,00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Железногорск, ул. Советской Армии, столовая «Арктика» - г. Железногорск, ул. Южная, 18 Д, маг. «Хороший» - г. Железногорск, пр. Ленинградский - г. Железногорск, пр. Курчатова - г. Железногорск, ул. Ленина - г. Железногорск, ул. Южная, 18 Д, маг. «Хороший» - г. Железногорск, ул. Красноярская, 15 - г. Железногорск, пр. Курчатова - г. Железногорск, ул. 60 лет ВЛКСМ, ост. «Снежинка» - г. Железногорск, пр. Ленинградский - г. Железногорск, ул. Лысенко, 14 - г. Железногорск, пос. Первомайский - п. Подгорный, ул. Строительная, 27 - г. Сосновоборск, ул. Ленинского комсомола, ост. Солнышко - г. Сосновоборск, ул. Ленинского комсомола, ост. Сбербанк - г. Сосновоборск, пр. Мира, 3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3 000,00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ул. Советской Армии, столовая «Арктика» - г. Железногорск, ул. Южная, 18 Д, маг. «Хороший» - г. Железногорск, пр. Ленинградский - г. Железногорск, пр. Курчатова - г. Железногорск, ул. Ленина - г. Железногорск, ул. Южная, 18 Д, маг. «Хороший» - г. Железногорск, ул. Красноярская, 15 - г. Железногорск, пр. Курчатова - г. Железногорск, ул. 60 лет ВЛКСМ, ост. «Снежинка» - г. Железногорск, пр. Ленинградский - г. Железногорск, ул. Лысенко, 14 - г. Железногорск, пос. Первомайский - п. Подгорный, ул. Строительная, 27 - г. Сосновоборск, ул. Ленинского комсомола, ост. Солнышко - г. Сосновоборск, ул. Ленинского комсомола, ост. Сбербанк - г. Сосновоборск, пр. Мира, 3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4 200,00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Железногорск, ул. Лысенко, 14 - г. Железногорск, ул. Красноярская, 15 - г. Железногорск, ул. Загородная, КПП №4 - зд.20; ИХЗ - зд.28; ОДЦ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2 250,00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Железногорск, ул. Лысенко, 14 - г. Железногорск, ул. Красноярская, 15 - г. Железногорск, ул. Загородная, КПП №4 - зд.20; ИХЗ - зд.28; ОДЦ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3 000,00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ул. Лысенко, 14 - г. Железногорск, ул. Красноярская, 15 - г. Железногорск, ул. Загородная, КПП №4 - зд.20; ИХЗ - зд.28; ОДЦ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4 200,00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ззд.20; ИХЗ – ПВХРО - зд.28; ОДЦ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1 500,00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ззд.20; ИХЗ – ПВХРО - зд.28; ОДЦ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2 000,00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ззд.20; ИХЗ – ПВХРО - зд.28; ОДЦ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2 800,00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ПВХРО - зд.28; ОДЦ - г. Железногорск, ул. Лысенко, 14 - г. Железногорск, ул. Красноярская, 15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3 000,00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ПВХРО - зд.28; ОДЦ - г. Железногорск, ул. Лысенко, 14 - г. Железногорск, ул. Красноярская, 15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4 000,00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ПВХРО - зд.28; ОДЦ - г. Железногорск, ул. Лысенко, 14 - г. Железногорск, ул. Красноярская, 15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5 600,00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Железногорск, пос. Первомайский, ул. Поселковая, 28- г. Железногорск, пос. Первомайский, ул. Белорусская - г. Железногорск, пос. Первомайский, ул. Толстого - г. Железногорск, пр. Ленинградский - г. Железногорск, пр. Курчатова - г. Железногорск, ул. Свердлова, к/т «Родина» - г. Железногорск, ул. Ленина, столовая «Заря» - г. Железногорск, ул. Загородная, ост. Лукаши - г. Железногорск, ул. Промышленная, 26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2 250,00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20 мест)</w:t>
              <w:br/>
              <w:t>г. Железногорск, пос. Первомайский, ул. Поселковая, 28- г. Железногорск, пос. Первомайский, ул. Белорусская - г. Железногорск, пос. Первомайский, ул. Толстого - г. Железногорск, пр. Ленинградский - г. Железногорск, пр. Курчатова - г. Железногорск, ул. Свердлова, к/т «Родина» - г. Железногорск, ул. Ленина, столовая «Заря» - г. Железногорск, ул. Загородная, ост. Лукаши - г. Железногорск, ул. Промышленная, 26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3 000,00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пос. Первомайский, ул. Поселковая, 28- г. Железногорск, пос. Первомайский, ул. Белорусская - г. Железногорск, пос. Первомайский, ул. Толстого - г. Железногорск, пр. Ленинградский - г. Железногорск, пр. Курчатова - г. Железногорск, ул. Свердлова, к/т «Родина» - г. Железногорск, ул. Ленина, столовая «Заря» - г. Железногорск, ул. Загородная, ост. Лукаши - г. Железногорск, ул. Промышленная, 26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4 200,00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Железногорск, ул. Промышленная, 26 - г. Железногорск, ул. Загородная, ост. Лукаши - г. Железногорск, ул. Ленина, столовая «Заря» - г. Железногорск, ул. Свердлова, к/т «Родина» - г. Железногорск, пр. Курчатова - г. Железногорск, пр. Ленинградский - г. Железногорск, пос. Первомайский, ул. Толстого - г. Железногорск, пос. Первомайский, ул. Белорусская - г. Железногорск, пос. Первомайский, ул. Поселковая, 28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2 250,00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Железногорск, ул. Промышленная, 26 - г. Железногорск, ул. Загородная, ост. Лукаши - г. Железногорск, ул. Ленина, столовая «Заря» - г. Железногорск, ул. Свердлова, к/т «Родина» - г. Железногорск, пр. Курчатова - г. Железногорск, пр. Ленинградский - г. Железногорск, пос. Первомайский, ул. Толстого - г. Железногорск, пос. Первомайский, ул. Белорусская - г. Железногорск, пос. Первомайский, ул. Поселковая, 28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3 000,00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ул. Промышленная, 26 - г. Железногорск, ул. Загородная, ост. Лукаши - г. Железногорск, ул. Ленина, столовая «Заря» - г. Железногорск, ул. Свердлова, к/т «Родина» - г. Железногорск, пр. Курчатова - г. Железногорск, пр. Ленинградский - г. Железногорск, пос. Первомайский, ул. Толстого - г. Железногорск, пос. Первомайский, ул. Белорусская - г. Железногорск, пос. Первомайский, ул. Поселковая, 28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4 200,00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Железногорск, пос. Первомайский, ул. Белорусская - г. Железногорск, ул. Лысенко, 14 - г. Железногорск, ул. Красноярская, 15 - пр. ленинградский - пр. Курчатова - ул. Ленина ост. Заря - ЗРТ зд.28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3 000,00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Железногорск, ул. Промышленная, 26 - г. Железногорск, ул. Загородная, ост. Лукаши - г. Железногорск, ул. Ленина, столовая «Заря» - г. Железногорск, ул. Свердлова, к/т «Родина» - г. Железногорск, пр. Курчатова - г. Железногорск, пр. Ленинградский - г. Железногорск, пос. Первомайский, ул. Толстого - г. Железногорск, пос. Первомайский, ул. Белорусская - г. Железногорск, пос. Первомайский, ул. Поселковая, 28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4 000,00</w:t>
            </w:r>
          </w:p>
        </w:tc>
      </w:tr>
      <w:tr>
        <w:trPr>
          <w:trHeight w:val="49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  <w:tc>
          <w:tcPr>
            <w:tcW w:w="272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r>
          </w:p>
        </w:tc>
        <w:tc>
          <w:tcPr>
            <w:tcW w:w="49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пос. Первомайский, ул. Белорусская - г. Железногорск, ул. Лысенко, 14 - г. Железногорск, ул. Красноярская, 15 - пр. ленинградский - пр. Курчатова - ул. Ленина ост. Заря - ЗРТ зд.28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5 600,00</w:t>
            </w:r>
          </w:p>
        </w:tc>
      </w:tr>
    </w:tbl>
    <w:p>
      <w:pPr>
        <w:pStyle w:val="Normal"/>
        <w:rPr/>
      </w:pPr>
      <w:r>
        <w:rPr/>
      </w:r>
    </w:p>
    <w:sectPr>
      <w:footerReference w:type="default" r:id="rId3"/>
      <w:type w:val="nextPage"/>
      <w:pgSz w:w="11906" w:h="16838"/>
      <w:pgMar w:left="1134" w:right="737" w:gutter="0" w:header="0" w:top="851" w:footer="467" w:bottom="52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imes New Roman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Book Antiqua">
    <w:charset w:val="01"/>
    <w:family w:val="roman"/>
    <w:pitch w:val="default"/>
  </w:font>
  <w:font w:name="XO Thames">
    <w:charset w:val="01"/>
    <w:family w:val="roman"/>
    <w:pitch w:val="default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 w:val="false"/>
      <w:numPr>
        <w:ilvl w:val="0"/>
        <w:numId w:val="0"/>
      </w:numPr>
      <w:spacing w:before="120" w:after="0"/>
      <w:ind w:left="0" w:hanging="0"/>
      <w:jc w:val="center"/>
      <w:outlineLvl w:val="0"/>
      <w:rPr>
        <w:rFonts w:ascii="Times New Roman" w:hAnsi="Times New Roman" w:eastAsia="Times New Roman" w:cs="Times New Roman"/>
        <w:bCs/>
        <w:color w:val="auto"/>
        <w:kern w:val="0"/>
        <w:sz w:val="16"/>
        <w:szCs w:val="16"/>
        <w:lang w:val="ru-RU" w:eastAsia="ru-RU" w:bidi="ar-SA"/>
      </w:rPr>
    </w:pPr>
    <w:r>
      <w:rPr>
        <w:rFonts w:eastAsia="Times New Roman" w:cs="Times New Roman" w:ascii="Times New Roman" w:hAnsi="Times New Roman"/>
        <w:bCs/>
        <w:color w:val="auto"/>
        <w:kern w:val="0"/>
        <w:sz w:val="16"/>
        <w:szCs w:val="16"/>
        <w:lang w:val="ru-RU" w:eastAsia="ru-RU" w:bidi="ar-SA"/>
      </w:rPr>
      <w:t>ПРОТОКОЛ № 32514577420/3</w:t>
    </w:r>
  </w:p>
  <w:p>
    <w:pPr>
      <w:pStyle w:val="Normal"/>
      <w:widowControl w:val="false"/>
      <w:numPr>
        <w:ilvl w:val="0"/>
        <w:numId w:val="0"/>
      </w:numPr>
      <w:ind w:left="0" w:hanging="0"/>
      <w:jc w:val="center"/>
      <w:outlineLvl w:val="0"/>
      <w:rPr>
        <w:rFonts w:ascii="Times New Roman" w:hAnsi="Times New Roman" w:eastAsia="Times New Roman" w:cs="Times New Roman"/>
        <w:bCs/>
        <w:color w:val="auto"/>
        <w:kern w:val="0"/>
        <w:sz w:val="16"/>
        <w:szCs w:val="16"/>
        <w:lang w:val="ru-RU" w:eastAsia="ru-RU" w:bidi="ar-SA"/>
      </w:rPr>
    </w:pPr>
    <w:r>
      <w:rPr>
        <w:rFonts w:eastAsia="Times New Roman" w:cs="Times New Roman" w:ascii="Times New Roman" w:hAnsi="Times New Roman"/>
        <w:bCs/>
        <w:color w:val="auto"/>
        <w:kern w:val="0"/>
        <w:sz w:val="16"/>
        <w:szCs w:val="16"/>
        <w:lang w:val="ru-RU" w:eastAsia="ru-RU" w:bidi="ar-SA"/>
      </w:rPr>
      <w:t>заседания закупочной комиссии по подведению итогов закупки (итоговый протокол) открытого запроса предложений в электронной форме без предварительного квалификационного отбора на право заключения договора на оказание транспортных услуг по перевозке персонала</w:t>
    </w:r>
  </w:p>
  <w:p>
    <w:pPr>
      <w:pStyle w:val="Normal"/>
      <w:widowControl w:val="false"/>
      <w:numPr>
        <w:ilvl w:val="0"/>
        <w:numId w:val="0"/>
      </w:numPr>
      <w:tabs>
        <w:tab w:val="clear" w:pos="708"/>
        <w:tab w:val="center" w:pos="5017" w:leader="none"/>
      </w:tabs>
      <w:ind w:left="0" w:hanging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sz w:val="16"/>
        <w:szCs w:val="16"/>
        <w:bCs/>
        <w:rFonts w:ascii="Times New Roman" w:hAnsi="Times New Roman"/>
      </w:rPr>
      <w:instrText xml:space="preserve"> PAGE </w:instrText>
    </w:r>
    <w:r>
      <w:rPr>
        <w:sz w:val="16"/>
        <w:szCs w:val="16"/>
        <w:bCs/>
        <w:rFonts w:ascii="Times New Roman" w:hAnsi="Times New Roman"/>
      </w:rPr>
      <w:fldChar w:fldCharType="separate"/>
    </w:r>
    <w:r>
      <w:rPr>
        <w:sz w:val="16"/>
        <w:szCs w:val="16"/>
        <w:bCs/>
        <w:rFonts w:ascii="Times New Roman" w:hAnsi="Times New Roman"/>
      </w:rPr>
      <w:t>14</w:t>
    </w:r>
    <w:r>
      <w:rPr>
        <w:sz w:val="16"/>
        <w:szCs w:val="16"/>
        <w:bCs/>
        <w:rFonts w:ascii="Times New Roman" w:hAnsi="Times New Roman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sz w:val="16"/>
        <w:szCs w:val="16"/>
        <w:bCs/>
        <w:rFonts w:ascii="Times New Roman" w:hAnsi="Times New Roman"/>
      </w:rPr>
      <w:instrText xml:space="preserve"> NUMPAGES </w:instrText>
    </w:r>
    <w:r>
      <w:rPr>
        <w:sz w:val="16"/>
        <w:szCs w:val="16"/>
        <w:bCs/>
        <w:rFonts w:ascii="Times New Roman" w:hAnsi="Times New Roman"/>
      </w:rPr>
      <w:fldChar w:fldCharType="separate"/>
    </w:r>
    <w:r>
      <w:rPr>
        <w:sz w:val="16"/>
        <w:szCs w:val="16"/>
        <w:bCs/>
        <w:rFonts w:ascii="Times New Roman" w:hAnsi="Times New Roman"/>
      </w:rPr>
      <w:t>14</w:t>
    </w:r>
    <w:r>
      <w:rPr>
        <w:sz w:val="16"/>
        <w:szCs w:val="16"/>
        <w:bCs/>
        <w:rFonts w:ascii="Times New Roman" w:hAnsi="Times New Roman"/>
      </w:rPr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u w:val="none"/>
        <w:b/>
        <w:kern w:val="0"/>
        <w:iCs w:val="false"/>
        <w:bCs w:val="false"/>
        <w:em w:val="none"/>
        <w:vanish w:val="false"/>
        <w:rFonts w:cs="Times New Roman"/>
        <w14:shadow w14:blurRad="0" w14:dist="0" w14:dir="0" w14:sx="0" w14:sy="0" w14:kx="0" w14:ky="0" w14:algn="none">
          <w14:srgbClr w14:val="000000"/>
        </w14:shadow>
        <w14:textFill>
          <w14:solidFill>
            <w14:srgbClr w14:val="000000"/>
          </w14:solidFill>
        </w14:textFill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/>
        <w:kern w:val="0"/>
        <w:szCs w:val="28"/>
        <w:iCs w:val="false"/>
        <w:bCs/>
        <w:w w:val="100"/>
        <w:vanish w:val="false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u w:val="none"/>
        <w:b w:val="false"/>
        <w:kern w:val="0"/>
        <w:effect w:val="none"/>
        <w:iCs w:val="false"/>
        <w:bCs w:val="false"/>
        <w:em w:val="none"/>
        <w:vanish w:val="false"/>
        <w:rFonts w:ascii="Times New Roman" w:hAnsi="Times New Roman" w:cs="Times New Roman"/>
        <w14:shadow w14:blurRad="0" w14:dist="0" w14:dir="0" w14:sx="0" w14:sy="0" w14:kx="0" w14:ky="0" w14:algn="none">
          <w14:srgbClr w14:val="000000"/>
        </w14:shadow>
        <w14:textFill>
          <w14:solidFill>
            <w14:srgbClr w14:val="000000"/>
          </w14:solidFill>
        </w14:textFill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 w:val="false"/>
        <w:kern w:val="0"/>
        <w:szCs w:val="28"/>
        <w:iCs w:val="false"/>
        <w:bCs w:val="false"/>
        <w:w w:val="100"/>
        <w:vanish w:val="false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u w:val="none"/>
        <w:b w:val="false"/>
        <w:kern w:val="0"/>
        <w:iCs w:val="false"/>
        <w:bCs w:val="false"/>
        <w:em w:val="none"/>
        <w:vanish w:val="false"/>
        <w14:shadow w14:blurRad="0" w14:dist="0" w14:dir="0" w14:sx="0" w14:sy="0" w14:kx="0" w14:ky="0" w14:algn="none">
          <w14:srgbClr w14:val="000000"/>
        </w14:shadow>
        <w14:textFill>
          <w14:solidFill>
            <w14:srgbClr w14:val="000000"/>
          </w14:solidFill>
        </w14:textFill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lvlText w:val="%6)"/>
      <w:lvlJc w:val="left"/>
      <w:pPr>
        <w:tabs>
          <w:tab w:val="num" w:pos="360"/>
        </w:tabs>
        <w:ind w:left="0" w:hanging="0"/>
      </w:pPr>
      <w:rPr/>
    </w:lvl>
    <w:lvl w:ilvl="6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71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/>
        <w:rFonts w:ascii="Times New Roman" w:hAnsi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13" w:hanging="108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404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55" w:hanging="144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746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597" w:hanging="180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088" w:hanging="180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6"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71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13" w:hanging="108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404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55" w:hanging="144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746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597" w:hanging="180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088" w:hanging="180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cc23b8"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next w:val="Normal"/>
    <w:link w:val="11"/>
    <w:qFormat/>
    <w:rsid w:val="00ff6258"/>
    <w:pPr>
      <w:keepNext w:val="true"/>
      <w:numPr>
        <w:ilvl w:val="0"/>
        <w:numId w:val="1"/>
      </w:numPr>
      <w:suppressAutoHyphens w:val="true"/>
      <w:jc w:val="left"/>
      <w:outlineLvl w:val="0"/>
    </w:pPr>
    <w:rPr>
      <w:rFonts w:ascii="Times New Roman" w:hAnsi="Times New Roman"/>
      <w:b/>
      <w:bCs/>
      <w:kern w:val="2"/>
      <w:sz w:val="28"/>
      <w:szCs w:val="40"/>
      <w:lang w:val="x-none" w:eastAsia="x-none"/>
    </w:rPr>
  </w:style>
  <w:style w:type="paragraph" w:styleId="2">
    <w:name w:val="Heading 2"/>
    <w:basedOn w:val="Normal"/>
    <w:next w:val="-3"/>
    <w:link w:val="21"/>
    <w:qFormat/>
    <w:rsid w:val="00ff6258"/>
    <w:pPr>
      <w:keepNext w:val="true"/>
      <w:keepLines w:val="false"/>
      <w:numPr>
        <w:ilvl w:val="1"/>
        <w:numId w:val="1"/>
      </w:numPr>
      <w:suppressAutoHyphens w:val="true"/>
      <w:jc w:val="left"/>
      <w:outlineLvl w:val="1"/>
    </w:pPr>
    <w:rPr>
      <w:rFonts w:ascii="Times New Roman" w:hAnsi="Times New Roman"/>
      <w:b/>
      <w:bCs/>
      <w:sz w:val="28"/>
      <w:szCs w:val="32"/>
      <w:lang w:val="x-none"/>
    </w:rPr>
  </w:style>
  <w:style w:type="paragraph" w:styleId="3">
    <w:name w:val="Heading 3"/>
    <w:basedOn w:val="Normal"/>
    <w:next w:val="Normal"/>
    <w:link w:val="31"/>
    <w:uiPriority w:val="99"/>
    <w:semiHidden/>
    <w:unhideWhenUsed/>
    <w:qFormat/>
    <w:rsid w:val="00cc23b8"/>
    <w:pPr>
      <w:keepNext w:val="true"/>
      <w:spacing w:before="240" w:after="60"/>
      <w:outlineLvl w:val="2"/>
    </w:pPr>
    <w:rPr>
      <w:b/>
      <w:bCs/>
      <w:sz w:val="28"/>
      <w:szCs w:val="26"/>
      <w:lang w:val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unhideWhenUsed/>
    <w:rsid w:val="00cc23b8"/>
    <w:rPr>
      <w:strike w:val="false"/>
      <w:dstrike w:val="false"/>
      <w:color w:val="0063A4"/>
      <w:u w:val="none"/>
      <w:effect w:val="none"/>
    </w:rPr>
  </w:style>
  <w:style w:type="character" w:styleId="Style11">
    <w:name w:val="FollowedHyperlink"/>
    <w:uiPriority w:val="99"/>
    <w:semiHidden/>
    <w:unhideWhenUsed/>
    <w:rsid w:val="00cc23b8"/>
    <w:rPr>
      <w:color w:val="800080"/>
      <w:u w:val="single"/>
    </w:rPr>
  </w:style>
  <w:style w:type="character" w:styleId="31" w:customStyle="1">
    <w:name w:val="Заголовок 3 Знак"/>
    <w:uiPriority w:val="99"/>
    <w:semiHidden/>
    <w:qFormat/>
    <w:locked/>
    <w:rsid w:val="00cc23b8"/>
    <w:rPr>
      <w:rFonts w:ascii="Arial" w:hAnsi="Arial" w:eastAsia="Times New Roman" w:cs="Arial"/>
      <w:b/>
      <w:bCs/>
      <w:sz w:val="28"/>
      <w:szCs w:val="26"/>
      <w:lang w:eastAsia="ru-RU"/>
    </w:rPr>
  </w:style>
  <w:style w:type="character" w:styleId="Style12" w:customStyle="1">
    <w:name w:val="Текст примечания Знак"/>
    <w:link w:val="Annotationtext"/>
    <w:uiPriority w:val="99"/>
    <w:semiHidden/>
    <w:qFormat/>
    <w:locked/>
    <w:rsid w:val="00cc23b8"/>
    <w:rPr>
      <w:rFonts w:ascii="Arial" w:hAnsi="Arial" w:eastAsia="Times New Roman" w:cs="Times New Roman"/>
      <w:sz w:val="20"/>
      <w:szCs w:val="20"/>
      <w:lang w:eastAsia="ru-RU"/>
    </w:rPr>
  </w:style>
  <w:style w:type="character" w:styleId="Style13" w:customStyle="1">
    <w:name w:val="Верхний колонтитул Знак"/>
    <w:uiPriority w:val="99"/>
    <w:qFormat/>
    <w:locked/>
    <w:rsid w:val="00cc23b8"/>
    <w:rPr>
      <w:rFonts w:ascii="Arial" w:hAnsi="Arial" w:eastAsia="Times New Roman" w:cs="Times New Roman"/>
      <w:sz w:val="24"/>
      <w:szCs w:val="24"/>
      <w:lang w:eastAsia="ru-RU"/>
    </w:rPr>
  </w:style>
  <w:style w:type="character" w:styleId="Style14" w:customStyle="1">
    <w:name w:val="Нижний колонтитул Знак"/>
    <w:uiPriority w:val="99"/>
    <w:qFormat/>
    <w:locked/>
    <w:rsid w:val="00cc23b8"/>
    <w:rPr>
      <w:rFonts w:ascii="Arial" w:hAnsi="Arial" w:eastAsia="Times New Roman" w:cs="Times New Roman"/>
      <w:sz w:val="24"/>
      <w:szCs w:val="24"/>
      <w:lang w:eastAsia="ru-RU"/>
    </w:rPr>
  </w:style>
  <w:style w:type="character" w:styleId="Style15" w:customStyle="1">
    <w:name w:val="Основной текст Знак"/>
    <w:uiPriority w:val="99"/>
    <w:qFormat/>
    <w:locked/>
    <w:rsid w:val="00cc23b8"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Текст выноски Знак"/>
    <w:link w:val="BalloonText"/>
    <w:uiPriority w:val="99"/>
    <w:semiHidden/>
    <w:qFormat/>
    <w:locked/>
    <w:rsid w:val="00cc23b8"/>
    <w:rPr>
      <w:rFonts w:ascii="Tahoma" w:hAnsi="Tahoma" w:eastAsia="Times New Roman" w:cs="Tahoma"/>
      <w:sz w:val="16"/>
      <w:szCs w:val="16"/>
      <w:lang w:eastAsia="ru-RU"/>
    </w:rPr>
  </w:style>
  <w:style w:type="character" w:styleId="Annotationreference">
    <w:name w:val="annotation reference"/>
    <w:uiPriority w:val="99"/>
    <w:semiHidden/>
    <w:unhideWhenUsed/>
    <w:qFormat/>
    <w:rsid w:val="00cc23b8"/>
    <w:rPr>
      <w:sz w:val="16"/>
      <w:szCs w:val="16"/>
    </w:rPr>
  </w:style>
  <w:style w:type="character" w:styleId="11" w:customStyle="1">
    <w:name w:val="Заголовок 1 Знак"/>
    <w:qFormat/>
    <w:rsid w:val="00ff6258"/>
    <w:rPr>
      <w:rFonts w:ascii="Times New Roman" w:hAnsi="Times New Roman" w:eastAsia="Times New Roman" w:cs="Times New Roman"/>
      <w:b/>
      <w:bCs/>
      <w:kern w:val="2"/>
      <w:sz w:val="28"/>
      <w:szCs w:val="40"/>
    </w:rPr>
  </w:style>
  <w:style w:type="character" w:styleId="21" w:customStyle="1">
    <w:name w:val="Заголовок 2 Знак"/>
    <w:qFormat/>
    <w:rsid w:val="00ff6258"/>
    <w:rPr>
      <w:rFonts w:ascii="Times New Roman" w:hAnsi="Times New Roman" w:eastAsia="Times New Roman" w:cs="Times New Roman"/>
      <w:b/>
      <w:bCs/>
      <w:sz w:val="28"/>
      <w:szCs w:val="32"/>
      <w:lang w:eastAsia="ru-RU"/>
    </w:rPr>
  </w:style>
  <w:style w:type="character" w:styleId="Style17" w:customStyle="1">
    <w:name w:val="Тема примечания Знак"/>
    <w:link w:val="Annotationsubject"/>
    <w:uiPriority w:val="99"/>
    <w:semiHidden/>
    <w:qFormat/>
    <w:rsid w:val="001410e2"/>
    <w:rPr>
      <w:rFonts w:ascii="Arial" w:hAnsi="Arial" w:eastAsia="Times New Roman" w:cs="Times New Roman"/>
      <w:b/>
      <w:bCs/>
      <w:sz w:val="20"/>
      <w:szCs w:val="20"/>
      <w:lang w:eastAsia="ru-RU"/>
    </w:rPr>
  </w:style>
  <w:style w:type="character" w:styleId="Style18" w:customStyle="1">
    <w:name w:val="Схема документа Знак"/>
    <w:link w:val="DocumentMap"/>
    <w:uiPriority w:val="99"/>
    <w:semiHidden/>
    <w:qFormat/>
    <w:rsid w:val="00820115"/>
    <w:rPr>
      <w:rFonts w:ascii="Tahoma" w:hAnsi="Tahoma" w:eastAsia="Times New Roman" w:cs="Tahoma"/>
      <w:sz w:val="16"/>
      <w:szCs w:val="16"/>
      <w:lang w:eastAsia="ru-RU"/>
    </w:rPr>
  </w:style>
  <w:style w:type="character" w:styleId="Style19" w:customStyle="1">
    <w:name w:val="Абзац списка Знак"/>
    <w:link w:val="ListParagraph"/>
    <w:uiPriority w:val="34"/>
    <w:qFormat/>
    <w:rsid w:val="00f57647"/>
    <w:rPr>
      <w:rFonts w:ascii="Arial" w:hAnsi="Arial" w:eastAsia="Times New Roman"/>
      <w:sz w:val="24"/>
      <w:szCs w:val="24"/>
    </w:rPr>
  </w:style>
  <w:style w:type="character" w:styleId="22" w:customStyle="1">
    <w:name w:val="Основной текст с отступом 2 Знак"/>
    <w:link w:val="BodyTextIndent2"/>
    <w:uiPriority w:val="99"/>
    <w:semiHidden/>
    <w:qFormat/>
    <w:rsid w:val="00ff7736"/>
    <w:rPr>
      <w:rFonts w:ascii="Arial" w:hAnsi="Arial" w:eastAsia="Times New Roman"/>
      <w:sz w:val="24"/>
      <w:szCs w:val="24"/>
    </w:rPr>
  </w:style>
  <w:style w:type="character" w:styleId="Style20">
    <w:name w:val="Символ нумерации"/>
    <w:qFormat/>
    <w:rPr/>
  </w:style>
  <w:style w:type="paragraph" w:styleId="Style21">
    <w:name w:val="Заголовок"/>
    <w:basedOn w:val="Normal"/>
    <w:next w:val="Style22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2">
    <w:name w:val="Body Text"/>
    <w:basedOn w:val="Normal"/>
    <w:link w:val="Style15"/>
    <w:uiPriority w:val="99"/>
    <w:unhideWhenUsed/>
    <w:rsid w:val="00cc23b8"/>
    <w:pPr>
      <w:spacing w:before="0" w:after="160"/>
    </w:pPr>
    <w:rPr>
      <w:lang w:val="x-none"/>
    </w:rPr>
  </w:style>
  <w:style w:type="paragraph" w:styleId="Style23">
    <w:name w:val="List"/>
    <w:basedOn w:val="Style22"/>
    <w:pPr/>
    <w:rPr>
      <w:rFonts w:ascii="PT Astra Serif" w:hAnsi="PT Astra Serif" w:cs="Noto Sans Devanagari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Annotationtext">
    <w:name w:val="annotation text"/>
    <w:basedOn w:val="Normal"/>
    <w:link w:val="Style12"/>
    <w:uiPriority w:val="99"/>
    <w:semiHidden/>
    <w:unhideWhenUsed/>
    <w:qFormat/>
    <w:rsid w:val="00cc23b8"/>
    <w:pPr/>
    <w:rPr>
      <w:sz w:val="20"/>
      <w:szCs w:val="20"/>
      <w:lang w:val="x-none"/>
    </w:rPr>
  </w:style>
  <w:style w:type="paragraph" w:styleId="Style26">
    <w:name w:val="Колонтитул"/>
    <w:basedOn w:val="Normal"/>
    <w:qFormat/>
    <w:pPr/>
    <w:rPr/>
  </w:style>
  <w:style w:type="paragraph" w:styleId="Style27">
    <w:name w:val="Header"/>
    <w:basedOn w:val="Normal"/>
    <w:link w:val="Style13"/>
    <w:uiPriority w:val="99"/>
    <w:unhideWhenUsed/>
    <w:rsid w:val="00cc23b8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Style28">
    <w:name w:val="Footer"/>
    <w:basedOn w:val="Normal"/>
    <w:link w:val="Style14"/>
    <w:uiPriority w:val="99"/>
    <w:unhideWhenUsed/>
    <w:rsid w:val="00cc23b8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cc23b8"/>
    <w:pPr/>
    <w:rPr>
      <w:rFonts w:ascii="Tahoma" w:hAnsi="Tahoma"/>
      <w:sz w:val="16"/>
      <w:szCs w:val="16"/>
      <w:lang w:val="x-none"/>
    </w:rPr>
  </w:style>
  <w:style w:type="paragraph" w:styleId="ListParagraph">
    <w:name w:val="List Paragraph"/>
    <w:basedOn w:val="Normal"/>
    <w:link w:val="Style19"/>
    <w:uiPriority w:val="34"/>
    <w:qFormat/>
    <w:rsid w:val="00cc23b8"/>
    <w:pPr>
      <w:spacing w:before="0" w:after="0"/>
      <w:ind w:left="720" w:hanging="0"/>
      <w:contextualSpacing/>
    </w:pPr>
    <w:rPr/>
  </w:style>
  <w:style w:type="paragraph" w:styleId="311" w:customStyle="1">
    <w:name w:val="Основной текст 31"/>
    <w:basedOn w:val="Normal"/>
    <w:uiPriority w:val="99"/>
    <w:qFormat/>
    <w:rsid w:val="00cc23b8"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2" w:customStyle="1">
    <w:name w:val="Основной текст с отступом 31"/>
    <w:basedOn w:val="Normal"/>
    <w:uiPriority w:val="99"/>
    <w:qFormat/>
    <w:rsid w:val="00cc23b8"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NormalWeb">
    <w:name w:val="Normal (Web)"/>
    <w:basedOn w:val="Normal"/>
    <w:uiPriority w:val="99"/>
    <w:unhideWhenUsed/>
    <w:qFormat/>
    <w:rsid w:val="00cc23b8"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-3" w:customStyle="1">
    <w:name w:val="Пункт-3"/>
    <w:basedOn w:val="Normal"/>
    <w:qFormat/>
    <w:rsid w:val="00ff6258"/>
    <w:pPr>
      <w:keepLines w:val="false"/>
      <w:numPr>
        <w:ilvl w:val="2"/>
        <w:numId w:val="1"/>
      </w:numPr>
    </w:pPr>
    <w:rPr>
      <w:rFonts w:ascii="Times New Roman" w:hAnsi="Times New Roman"/>
      <w:sz w:val="28"/>
    </w:rPr>
  </w:style>
  <w:style w:type="paragraph" w:styleId="-4" w:customStyle="1">
    <w:name w:val="Пункт-4"/>
    <w:basedOn w:val="Normal"/>
    <w:qFormat/>
    <w:rsid w:val="00ff6258"/>
    <w:pPr>
      <w:keepLines w:val="false"/>
      <w:numPr>
        <w:ilvl w:val="3"/>
        <w:numId w:val="1"/>
      </w:numPr>
    </w:pPr>
    <w:rPr>
      <w:rFonts w:ascii="Times New Roman" w:hAnsi="Times New Roman"/>
      <w:sz w:val="28"/>
    </w:rPr>
  </w:style>
  <w:style w:type="paragraph" w:styleId="-5" w:customStyle="1">
    <w:name w:val="Пункт-5"/>
    <w:basedOn w:val="Normal"/>
    <w:qFormat/>
    <w:rsid w:val="00ff6258"/>
    <w:pPr>
      <w:keepLines w:val="false"/>
      <w:numPr>
        <w:ilvl w:val="4"/>
        <w:numId w:val="1"/>
      </w:numPr>
    </w:pPr>
    <w:rPr>
      <w:rFonts w:ascii="Times New Roman" w:hAnsi="Times New Roman"/>
      <w:sz w:val="28"/>
    </w:rPr>
  </w:style>
  <w:style w:type="paragraph" w:styleId="-6" w:customStyle="1">
    <w:name w:val="Пункт-6"/>
    <w:basedOn w:val="Normal"/>
    <w:qFormat/>
    <w:rsid w:val="00ff6258"/>
    <w:pPr>
      <w:keepLines w:val="false"/>
      <w:numPr>
        <w:ilvl w:val="5"/>
        <w:numId w:val="1"/>
      </w:numPr>
      <w:tabs>
        <w:tab w:val="clear" w:pos="708"/>
        <w:tab w:val="left" w:pos="1985" w:leader="none"/>
      </w:tabs>
      <w:ind w:firstLine="709"/>
    </w:pPr>
    <w:rPr>
      <w:rFonts w:ascii="Times New Roman" w:hAnsi="Times New Roman"/>
      <w:sz w:val="28"/>
    </w:rPr>
  </w:style>
  <w:style w:type="paragraph" w:styleId="-7" w:customStyle="1">
    <w:name w:val="Пункт-7"/>
    <w:basedOn w:val="Normal"/>
    <w:qFormat/>
    <w:rsid w:val="00ff6258"/>
    <w:pPr>
      <w:keepLines w:val="false"/>
      <w:numPr>
        <w:ilvl w:val="6"/>
        <w:numId w:val="1"/>
      </w:numPr>
      <w:ind w:firstLine="709"/>
    </w:pPr>
    <w:rPr>
      <w:rFonts w:ascii="Times New Roman" w:hAnsi="Times New Roman"/>
      <w:sz w:val="28"/>
    </w:rPr>
  </w:style>
  <w:style w:type="paragraph" w:styleId="Annotationsubject">
    <w:name w:val="annotation subject"/>
    <w:basedOn w:val="Annotationtext"/>
    <w:next w:val="Annotationtext"/>
    <w:link w:val="Style17"/>
    <w:uiPriority w:val="99"/>
    <w:semiHidden/>
    <w:unhideWhenUsed/>
    <w:qFormat/>
    <w:rsid w:val="001410e2"/>
    <w:pPr>
      <w:keepLines w:val="false"/>
      <w:spacing w:before="0" w:after="200"/>
      <w:jc w:val="left"/>
    </w:pPr>
    <w:rPr>
      <w:b/>
      <w:bCs/>
    </w:rPr>
  </w:style>
  <w:style w:type="paragraph" w:styleId="DocumentMap">
    <w:name w:val="Document Map"/>
    <w:basedOn w:val="Normal"/>
    <w:link w:val="Style18"/>
    <w:uiPriority w:val="99"/>
    <w:semiHidden/>
    <w:unhideWhenUsed/>
    <w:qFormat/>
    <w:rsid w:val="00820115"/>
    <w:pPr/>
    <w:rPr>
      <w:rFonts w:ascii="Tahoma" w:hAnsi="Tahoma"/>
      <w:sz w:val="16"/>
      <w:szCs w:val="16"/>
      <w:lang w:val="x-none"/>
    </w:rPr>
  </w:style>
  <w:style w:type="paragraph" w:styleId="Revision">
    <w:name w:val="Revision"/>
    <w:uiPriority w:val="99"/>
    <w:semiHidden/>
    <w:qFormat/>
    <w:rsid w:val="00581daf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P-Style" w:customStyle="1">
    <w:name w:val="P-Style"/>
    <w:basedOn w:val="Normal"/>
    <w:qFormat/>
    <w:rsid w:val="0087589a"/>
    <w:pPr>
      <w:keepLines w:val="false"/>
      <w:spacing w:lineRule="auto" w:line="276" w:before="0" w:after="95"/>
      <w:jc w:val="left"/>
    </w:pPr>
    <w:rPr>
      <w:rFonts w:ascii="Times New Roman" w:hAnsi="Times New Roman"/>
    </w:rPr>
  </w:style>
  <w:style w:type="paragraph" w:styleId="ConsNormal" w:customStyle="1">
    <w:name w:val="ConsNormal"/>
    <w:qFormat/>
    <w:rsid w:val="00091de4"/>
    <w:pPr>
      <w:widowControl/>
      <w:suppressAutoHyphens w:val="true"/>
      <w:bidi w:val="0"/>
      <w:spacing w:before="0" w:after="0"/>
      <w:ind w:right="19772" w:firstLine="720"/>
      <w:jc w:val="left"/>
    </w:pPr>
    <w:rPr>
      <w:rFonts w:ascii="Arial" w:hAnsi="Arial" w:eastAsia="Times New Roman" w:cs="Arial"/>
      <w:color w:val="auto"/>
      <w:kern w:val="0"/>
      <w:sz w:val="24"/>
      <w:szCs w:val="24"/>
      <w:lang w:val="ru-RU" w:eastAsia="ru-RU" w:bidi="ar-SA"/>
    </w:rPr>
  </w:style>
  <w:style w:type="paragraph" w:styleId="32" w:customStyle="1">
    <w:name w:val="Стиль3"/>
    <w:basedOn w:val="BodyTextIndent2"/>
    <w:qFormat/>
    <w:rsid w:val="00ff7736"/>
    <w:pPr>
      <w:keepLines w:val="false"/>
      <w:widowControl w:val="false"/>
      <w:tabs>
        <w:tab w:val="clear" w:pos="708"/>
        <w:tab w:val="left" w:pos="1307" w:leader="none"/>
      </w:tabs>
      <w:spacing w:lineRule="auto" w:line="240" w:before="0" w:after="0"/>
      <w:ind w:left="1080" w:hanging="0"/>
      <w:textAlignment w:val="baseline"/>
    </w:pPr>
    <w:rPr>
      <w:rFonts w:ascii="Times New Roman" w:hAnsi="Times New Roman"/>
      <w:szCs w:val="20"/>
    </w:rPr>
  </w:style>
  <w:style w:type="paragraph" w:styleId="BodyTextIndent2">
    <w:name w:val="Body Text Indent 2"/>
    <w:basedOn w:val="Normal"/>
    <w:link w:val="22"/>
    <w:uiPriority w:val="99"/>
    <w:semiHidden/>
    <w:unhideWhenUsed/>
    <w:qFormat/>
    <w:rsid w:val="00ff7736"/>
    <w:pPr>
      <w:spacing w:lineRule="auto" w:line="480" w:before="0" w:after="120"/>
      <w:ind w:left="283" w:hanging="0"/>
    </w:pPr>
    <w:rPr/>
  </w:style>
  <w:style w:type="paragraph" w:styleId="Style29">
    <w:name w:val="Содержимое таблицы"/>
    <w:basedOn w:val="Normal"/>
    <w:qFormat/>
    <w:pPr>
      <w:widowControl w:val="false"/>
      <w:suppressLineNumbers/>
    </w:pPr>
    <w:rPr/>
  </w:style>
  <w:style w:type="paragraph" w:styleId="Style30">
    <w:name w:val="Заголовок таблицы"/>
    <w:basedOn w:val="Style2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7">
    <w:name w:val="Table Grid"/>
    <w:basedOn w:val="a1"/>
    <w:uiPriority w:val="99"/>
    <w:rsid w:val="00de77cf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style11427">
    <w:name w:val="style11427"/>
    <w:uiPriority w:val="99"/>
    <w:rsid w:val="00ef0887"/>
    <w:pPr>
      <w:spacing w:after="200" w:line="276" w:lineRule="auto"/>
    </w:pPr>
    <w:rPr>
      <w:sz w:val="24"/>
      <w:szCs w:val="24"/>
    </w:rPr>
    <w:tblPr>
      <w:tblBorders>
        <w:top w:val="single" w:color="000000" w:sz="1" w:space="0"/>
        <w:left w:val="single" w:color="000000" w:sz="1" w:space="0"/>
        <w:bottom w:val="single" w:color="000000" w:sz="1" w:space="0"/>
        <w:right w:val="single" w:color="000000" w:sz="1" w:space="0"/>
        <w:insideH w:val="single" w:color="000000" w:sz="1" w:space="0"/>
        <w:insideV w:val="single" w:color="000000" w:sz="1" w:space="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"/>
</file>

<file path=customXml/itemProps1.xml><?xml version="1.0" encoding="utf-8"?>
<ds:datastoreItem xmlns:ds="http://schemas.openxmlformats.org/officeDocument/2006/customXml" ds:itemID="{560E5AC6-94EC-4C7E-9BDA-552D6DEA6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Application>LibreOffice/7.5.6.2$Linux_X86_64 LibreOffice_project/50$Build-2</Application>
  <AppVersion>15.0000</AppVersion>
  <Pages>14</Pages>
  <Words>6696</Words>
  <Characters>37829</Characters>
  <CharactersWithSpaces>44117</CharactersWithSpaces>
  <Paragraphs>431</Paragraphs>
  <Company>ФГУП "Горно-химический комбинат"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2025-03-13T02:45:00Z</dcterms:created>
  <dc:creator>Хмелевская Мария Михайловна</dc:creator>
  <dc:description/>
  <dc:language>ru-RU</dc:language>
  <cp:lastModifiedBy/>
  <dcterms:modified xsi:type="dcterms:W3CDTF">2025-03-18T16:59:15Z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