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drawing>
          <wp:inline>
            <wp:extent cx="1114425" cy="50482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1114425" cy="5048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5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ФЕДЕРАЛЬНОЕ ГОСУДАРСТВЕННОЕ УНИТАРНОЕ ПРЕДПРИЯТИЕ</w:t>
      </w:r>
    </w:p>
    <w:p w14:paraId="06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«ГОРНО-ХИМИЧЕСКИЙ КОМБИНАТ»</w:t>
      </w:r>
    </w:p>
    <w:p w14:paraId="07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(ФГУП  «ГХК»)</w:t>
      </w:r>
    </w:p>
    <w:p w14:paraId="08000000">
      <w:pPr>
        <w:widowControl w:val="0"/>
        <w:spacing w:before="120"/>
        <w:ind/>
        <w:jc w:val="center"/>
        <w:outlineLvl w:val="0"/>
        <w:rPr>
          <w:rFonts w:ascii="Times New Roman" w:hAnsi="Times New Roman"/>
          <w:b w:val="1"/>
        </w:rPr>
      </w:pPr>
      <w:bookmarkStart w:id="1" w:name="_Hlk201325529"/>
      <w:r>
        <w:rPr>
          <w:rFonts w:ascii="Times New Roman" w:hAnsi="Times New Roman"/>
          <w:b w:val="1"/>
        </w:rPr>
        <w:t xml:space="preserve">ПРОТОКОЛ № </w:t>
      </w:r>
      <w:r>
        <w:rPr>
          <w:rFonts w:ascii="Times New Roman" w:hAnsi="Times New Roman"/>
          <w:b w:val="1"/>
        </w:rPr>
        <w:t>32514933225</w:t>
      </w:r>
      <w:r>
        <w:rPr>
          <w:rFonts w:ascii="Times New Roman" w:hAnsi="Times New Roman"/>
          <w:b w:val="1"/>
        </w:rPr>
        <w:t>/1</w:t>
      </w:r>
    </w:p>
    <w:p w14:paraId="09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 xml:space="preserve">заседания закупочной комиссии по рассмотрению первых частей заявок на участие в открытом запросе предложений на </w:t>
      </w:r>
      <w:bookmarkStart w:id="2" w:name="_Hlk201325613"/>
      <w:r>
        <w:rPr>
          <w:rFonts w:ascii="Times New Roman" w:hAnsi="Times New Roman"/>
          <w:b w:val="1"/>
          <w:sz w:val="22"/>
        </w:rPr>
        <w:t>оказание услуг по стирке, дезинфекции камерной, химической чистке белья и прочих изделий для ООО "С/п Юбилейный ГХК"</w:t>
      </w:r>
      <w:bookmarkEnd w:id="2"/>
      <w:bookmarkEnd w:id="1"/>
    </w:p>
    <w:p w14:paraId="0A000000">
      <w:pPr>
        <w:widowControl w:val="0"/>
        <w:ind/>
        <w:jc w:val="center"/>
        <w:outlineLvl w:val="0"/>
        <w:rPr>
          <w:rFonts w:ascii="Times New Roman" w:hAnsi="Times New Roman"/>
        </w:rPr>
      </w:pPr>
    </w:p>
    <w:p w14:paraId="0B000000">
      <w:pPr>
        <w:keepLines w:val="0"/>
        <w:widowControl w:val="0"/>
        <w:tabs>
          <w:tab w:leader="none" w:pos="252" w:val="left"/>
        </w:tabs>
        <w:ind/>
        <w:rPr>
          <w:rFonts w:ascii="Times New Roman" w:hAnsi="Times New Roman"/>
          <w:b w:val="1"/>
        </w:rPr>
      </w:pPr>
      <w:r>
        <w:rPr>
          <w:rFonts w:ascii="Times New Roman" w:hAnsi="Times New Roman"/>
        </w:rPr>
        <w:t>г. Железногорск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дата подписания протокола « ___ » </w:t>
      </w:r>
      <w:r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2025 г.</w:t>
      </w:r>
    </w:p>
    <w:p w14:paraId="0C000000">
      <w:pPr>
        <w:keepLines w:val="0"/>
        <w:widowControl w:val="0"/>
        <w:tabs>
          <w:tab w:leader="none" w:pos="709" w:val="left"/>
        </w:tabs>
        <w:ind/>
        <w:rPr>
          <w:rFonts w:ascii="Times New Roman" w:hAnsi="Times New Roman"/>
        </w:rPr>
      </w:pPr>
    </w:p>
    <w:p w14:paraId="0D000000">
      <w:pPr>
        <w:pStyle w:val="Style_1"/>
        <w:spacing w:after="0" w:line="240" w:lineRule="auto"/>
        <w:ind/>
        <w:rPr>
          <w:b w:val="1"/>
        </w:rPr>
      </w:pPr>
      <w:r>
        <w:rPr>
          <w:b w:val="1"/>
        </w:rPr>
        <w:t>Информация о закупке:</w:t>
      </w:r>
    </w:p>
    <w:p w14:paraId="0E000000">
      <w:pPr>
        <w:pStyle w:val="Style_1"/>
        <w:ind/>
        <w:jc w:val="both"/>
      </w:pPr>
      <w:r>
        <w:rPr>
          <w:b w:val="1"/>
        </w:rPr>
        <w:t>Заказчик закупки:</w:t>
      </w:r>
      <w:r>
        <w:rPr>
          <w:b w:val="1"/>
        </w:rPr>
        <w:t xml:space="preserve"> </w:t>
      </w:r>
      <w:r>
        <w:rPr>
          <w:sz w:val="23"/>
        </w:rPr>
        <w:t>Общество с ограниченной ответственностью «Санаторий-профилакторий Юбилейный Горно-химического комбината» (ООО « С/п Юбилейный ГХК»),  662970, РФ, Красноярский край, ЗАТО Железногорск, г. Железногорск, ул. Восточная, д. 2;</w:t>
      </w:r>
    </w:p>
    <w:p w14:paraId="0F000000">
      <w:pPr>
        <w:pStyle w:val="Style_1"/>
        <w:spacing w:after="0" w:line="240" w:lineRule="auto"/>
        <w:ind/>
        <w:jc w:val="both"/>
      </w:pPr>
      <w:r>
        <w:rPr>
          <w:b w:val="1"/>
        </w:rPr>
        <w:t xml:space="preserve">Организатор закупки: </w:t>
      </w:r>
      <w:r>
        <w:t>Федеральное государственное унитарное предприятие «Горно-химический комбинат» (Россия, 662972, ЗАТО Железногорск, г. Железногорск, Красноярского края, ул. Ленина, 53).</w:t>
      </w:r>
    </w:p>
    <w:p w14:paraId="10000000">
      <w:pPr>
        <w:pStyle w:val="Style_1"/>
        <w:spacing w:after="0" w:line="240" w:lineRule="auto"/>
        <w:ind/>
        <w:jc w:val="both"/>
      </w:pPr>
      <w:r>
        <w:rPr>
          <w:b w:val="1"/>
          <w:color w:val="000000"/>
        </w:rPr>
        <w:t>Способ</w:t>
      </w:r>
      <w:r>
        <w:rPr>
          <w:b w:val="1"/>
        </w:rPr>
        <w:t xml:space="preserve"> </w:t>
      </w:r>
      <w:r>
        <w:rPr>
          <w:b w:val="1"/>
          <w:color w:val="000000"/>
        </w:rPr>
        <w:t>закупки</w:t>
      </w:r>
      <w:r>
        <w:rPr>
          <w:b w:val="1"/>
        </w:rPr>
        <w:t>:</w:t>
      </w:r>
      <w:r>
        <w:t xml:space="preserve"> </w:t>
      </w:r>
      <w:r>
        <w:rPr>
          <w:color w:val="000000"/>
        </w:rPr>
        <w:t>открытый запрос предложений в электронной форме, участниками которого могут быть только субъекты малого и среднего предпринимательства.</w:t>
      </w:r>
    </w:p>
    <w:p w14:paraId="11000000">
      <w:pPr>
        <w:pStyle w:val="Style_1"/>
        <w:spacing w:after="0" w:line="240" w:lineRule="auto"/>
        <w:ind/>
        <w:jc w:val="both"/>
        <w:rPr>
          <w:spacing w:val="-6"/>
        </w:rPr>
      </w:pPr>
      <w:r>
        <w:rPr>
          <w:b w:val="1"/>
        </w:rPr>
        <w:t xml:space="preserve">Предмет договора: </w:t>
      </w:r>
      <w:r>
        <w:rPr>
          <w:color w:val="000000"/>
        </w:rPr>
        <w:t>оказание услуг по стирке, дезинфекции камерной, химической чистке белья и прочих изделий для ООО "С/п Юбилейный ГХК"</w:t>
      </w:r>
      <w:r>
        <w:rPr>
          <w:color w:val="000000"/>
        </w:rPr>
        <w:t>.</w:t>
      </w:r>
    </w:p>
    <w:p w14:paraId="12000000">
      <w:pPr>
        <w:pStyle w:val="Style_1"/>
        <w:spacing w:after="0" w:line="240" w:lineRule="auto"/>
        <w:ind/>
        <w:jc w:val="both"/>
      </w:pPr>
      <w:r>
        <w:rPr>
          <w:b w:val="1"/>
        </w:rPr>
        <w:t xml:space="preserve">Состав и объем </w:t>
      </w:r>
      <w:r>
        <w:rPr>
          <w:b w:val="1"/>
          <w:i w:val="1"/>
        </w:rPr>
        <w:t>товара/работ/услуг</w:t>
      </w:r>
      <w:r>
        <w:rPr>
          <w:b w:val="1"/>
        </w:rPr>
        <w:t xml:space="preserve">: </w:t>
      </w:r>
      <w:r>
        <w:t>В соответствии с томом 2 «Техническая часть» документации по проведению закупки.</w:t>
      </w:r>
    </w:p>
    <w:p w14:paraId="13000000">
      <w:pPr>
        <w:pStyle w:val="Style_1"/>
        <w:spacing w:after="0" w:line="240" w:lineRule="auto"/>
        <w:ind/>
        <w:jc w:val="both"/>
      </w:pPr>
      <w:r>
        <w:rPr>
          <w:b w:val="1"/>
        </w:rPr>
        <w:t xml:space="preserve">Срок </w:t>
      </w:r>
      <w:r>
        <w:rPr>
          <w:b w:val="1"/>
          <w:i w:val="1"/>
        </w:rPr>
        <w:t>поставки товара, выполнения работ или оказания услуг</w:t>
      </w:r>
      <w:r>
        <w:rPr>
          <w:b w:val="1"/>
        </w:rPr>
        <w:t xml:space="preserve">: </w:t>
      </w:r>
      <w:r>
        <w:t>В соответствии с томом 2 «Техническая часть» документации по проведению закупки.</w:t>
      </w:r>
    </w:p>
    <w:p w14:paraId="14000000">
      <w:pPr>
        <w:tabs>
          <w:tab w:leader="none" w:pos="0" w:val="left"/>
        </w:tabs>
        <w:spacing w:before="113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Начальная (максимальная) цена договора: </w:t>
      </w:r>
    </w:p>
    <w:p w14:paraId="15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1 299 000,00 </w:t>
      </w:r>
      <w:r>
        <w:rPr>
          <w:rFonts w:ascii="Times New Roman" w:hAnsi="Times New Roman"/>
        </w:rPr>
        <w:t>(один миллион двести девяносто девять тысяч)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</w:rPr>
        <w:t>рублей</w:t>
      </w:r>
      <w:r>
        <w:rPr>
          <w:rFonts w:ascii="Times New Roman" w:hAnsi="Times New Roman"/>
          <w:b w:val="1"/>
        </w:rPr>
        <w:t xml:space="preserve"> 00 копеек,</w:t>
      </w:r>
      <w:r>
        <w:rPr>
          <w:rFonts w:ascii="Times New Roman" w:hAnsi="Times New Roman"/>
        </w:rPr>
        <w:t xml:space="preserve"> с учетом НДС.</w:t>
      </w:r>
    </w:p>
    <w:p w14:paraId="16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Предельная стоимость закупки составляет: </w:t>
      </w:r>
    </w:p>
    <w:p w14:paraId="17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1 299 000,00 </w:t>
      </w:r>
      <w:r>
        <w:rPr>
          <w:rFonts w:ascii="Times New Roman" w:hAnsi="Times New Roman"/>
        </w:rPr>
        <w:t>(один миллион двести девяносто девять тысяч)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</w:rPr>
        <w:t>рублей</w:t>
      </w:r>
      <w:r>
        <w:rPr>
          <w:rFonts w:ascii="Times New Roman" w:hAnsi="Times New Roman"/>
          <w:b w:val="1"/>
        </w:rPr>
        <w:t xml:space="preserve"> 00 копеек,</w:t>
      </w:r>
      <w:r>
        <w:rPr>
          <w:rFonts w:ascii="Times New Roman" w:hAnsi="Times New Roman"/>
        </w:rPr>
        <w:t xml:space="preserve"> с учетом НДС.</w:t>
      </w:r>
    </w:p>
    <w:p w14:paraId="18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i w:val="1"/>
          <w:u w:val="single"/>
        </w:rPr>
        <w:t>Общая цена договора является фиксированной и не подлежит изменению</w:t>
      </w:r>
      <w:r>
        <w:rPr>
          <w:rFonts w:ascii="Times New Roman" w:hAnsi="Times New Roman"/>
          <w:b w:val="1"/>
        </w:rPr>
        <w:t>.</w:t>
      </w:r>
    </w:p>
    <w:p w14:paraId="19000000">
      <w:pPr>
        <w:keepLines w:val="0"/>
        <w:tabs>
          <w:tab w:leader="none" w:pos="709" w:val="left"/>
        </w:tabs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Начальная (максимальная) цена единицы услуги: </w:t>
      </w:r>
    </w:p>
    <w:tbl>
      <w:tblPr>
        <w:tblStyle w:val="Style_2"/>
        <w:tblInd w:type="dxa" w:w="113"/>
        <w:tblLayout w:type="fixed"/>
      </w:tblPr>
      <w:tblGrid>
        <w:gridCol w:w="843"/>
        <w:gridCol w:w="6048"/>
        <w:gridCol w:w="3446"/>
      </w:tblGrid>
      <w:tr>
        <w:tc>
          <w:tcPr>
            <w:tcW w:type="dxa" w:w="843"/>
          </w:tcPr>
          <w:p w14:paraId="1A000000">
            <w:pPr>
              <w:keepLines w:val="0"/>
              <w:widowControl w:val="0"/>
              <w:tabs>
                <w:tab w:leader="none" w:pos="1134" w:val="left"/>
              </w:tabs>
              <w:ind/>
              <w:contextualSpacing w:val="1"/>
              <w:rPr>
                <w:rFonts w:ascii="XO Thames" w:hAnsi="XO Thames"/>
              </w:rPr>
            </w:pPr>
            <w:r>
              <w:rPr>
                <w:rFonts w:ascii="XO Thames" w:hAnsi="XO Thames"/>
                <w:sz w:val="21"/>
              </w:rPr>
              <w:t>№ п/п</w:t>
            </w:r>
          </w:p>
        </w:tc>
        <w:tc>
          <w:tcPr>
            <w:tcW w:type="dxa" w:w="6048"/>
          </w:tcPr>
          <w:p w14:paraId="1B000000">
            <w:pPr>
              <w:keepLines w:val="0"/>
              <w:widowControl w:val="0"/>
              <w:tabs>
                <w:tab w:leader="none" w:pos="1134" w:val="left"/>
              </w:tabs>
              <w:ind/>
              <w:contextualSpacing w:val="1"/>
              <w:jc w:val="center"/>
              <w:rPr>
                <w:rFonts w:ascii="XO Thames" w:hAnsi="XO Thames"/>
              </w:rPr>
            </w:pPr>
            <w:r>
              <w:rPr>
                <w:rFonts w:ascii="XO Thames" w:hAnsi="XO Thames"/>
                <w:sz w:val="21"/>
              </w:rPr>
              <w:t>Наименование услуги</w:t>
            </w:r>
          </w:p>
        </w:tc>
        <w:tc>
          <w:tcPr>
            <w:tcW w:type="dxa" w:w="3446"/>
          </w:tcPr>
          <w:p w14:paraId="1C000000">
            <w:pPr>
              <w:keepLines w:val="0"/>
              <w:widowControl w:val="0"/>
              <w:tabs>
                <w:tab w:leader="none" w:pos="1134" w:val="left"/>
              </w:tabs>
              <w:ind/>
              <w:contextualSpacing w:val="1"/>
              <w:jc w:val="center"/>
              <w:rPr>
                <w:rFonts w:ascii="XO Thames" w:hAnsi="XO Thames"/>
              </w:rPr>
            </w:pPr>
            <w:r>
              <w:rPr>
                <w:rFonts w:ascii="XO Thames" w:hAnsi="XO Thames"/>
                <w:sz w:val="21"/>
              </w:rPr>
              <w:t>Начальная (максимальная) цена единицы услуги, руб. с НДС.</w:t>
            </w:r>
          </w:p>
        </w:tc>
      </w:tr>
      <w:tr>
        <w:tc>
          <w:tcPr>
            <w:tcW w:type="dxa" w:w="843"/>
          </w:tcPr>
          <w:p w14:paraId="1D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6048"/>
          </w:tcPr>
          <w:p w14:paraId="1E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белья</w:t>
            </w:r>
          </w:p>
        </w:tc>
        <w:tc>
          <w:tcPr>
            <w:tcW w:type="dxa" w:w="3446"/>
          </w:tcPr>
          <w:p w14:paraId="1F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43"/>
            <w:tcBorders>
              <w:top w:sz="4" w:val="nil"/>
            </w:tcBorders>
          </w:tcPr>
          <w:p w14:paraId="20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6048"/>
            <w:tcBorders>
              <w:top w:sz="4" w:val="nil"/>
            </w:tcBorders>
          </w:tcPr>
          <w:p w14:paraId="21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штор, портьер, тюля</w:t>
            </w:r>
          </w:p>
        </w:tc>
        <w:tc>
          <w:tcPr>
            <w:tcW w:type="dxa" w:w="3446"/>
            <w:tcBorders>
              <w:top w:sz="4" w:val="nil"/>
            </w:tcBorders>
          </w:tcPr>
          <w:p w14:paraId="22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43"/>
            <w:tcBorders>
              <w:top w:sz="4" w:val="nil"/>
            </w:tcBorders>
          </w:tcPr>
          <w:p w14:paraId="23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6048"/>
            <w:tcBorders>
              <w:top w:sz="4" w:val="nil"/>
            </w:tcBorders>
          </w:tcPr>
          <w:p w14:paraId="24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одеял, покрывал</w:t>
            </w:r>
          </w:p>
        </w:tc>
        <w:tc>
          <w:tcPr>
            <w:tcW w:type="dxa" w:w="3446"/>
            <w:tcBorders>
              <w:top w:sz="4" w:val="nil"/>
            </w:tcBorders>
          </w:tcPr>
          <w:p w14:paraId="25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43"/>
            <w:tcBorders>
              <w:top w:sz="4" w:val="nil"/>
            </w:tcBorders>
          </w:tcPr>
          <w:p w14:paraId="26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6048"/>
            <w:tcBorders>
              <w:top w:sz="4" w:val="nil"/>
            </w:tcBorders>
          </w:tcPr>
          <w:p w14:paraId="27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салфеток</w:t>
            </w:r>
          </w:p>
        </w:tc>
        <w:tc>
          <w:tcPr>
            <w:tcW w:type="dxa" w:w="3446"/>
            <w:tcBorders>
              <w:top w:sz="4" w:val="nil"/>
            </w:tcBorders>
          </w:tcPr>
          <w:p w14:paraId="28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43"/>
            <w:tcBorders>
              <w:top w:sz="4" w:val="nil"/>
            </w:tcBorders>
          </w:tcPr>
          <w:p w14:paraId="29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6048"/>
            <w:tcBorders>
              <w:top w:sz="4" w:val="nil"/>
            </w:tcBorders>
          </w:tcPr>
          <w:p w14:paraId="2A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скатертей</w:t>
            </w:r>
          </w:p>
        </w:tc>
        <w:tc>
          <w:tcPr>
            <w:tcW w:type="dxa" w:w="3446"/>
            <w:tcBorders>
              <w:top w:sz="4" w:val="nil"/>
            </w:tcBorders>
          </w:tcPr>
          <w:p w14:paraId="2B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43"/>
            <w:tcBorders>
              <w:top w:sz="4" w:val="nil"/>
            </w:tcBorders>
          </w:tcPr>
          <w:p w14:paraId="2C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6048"/>
            <w:tcBorders>
              <w:top w:sz="4" w:val="nil"/>
            </w:tcBorders>
          </w:tcPr>
          <w:p w14:paraId="2D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камерной дезинфекции белья</w:t>
            </w:r>
          </w:p>
        </w:tc>
        <w:tc>
          <w:tcPr>
            <w:tcW w:type="dxa" w:w="3446"/>
            <w:tcBorders>
              <w:top w:sz="4" w:val="nil"/>
            </w:tcBorders>
          </w:tcPr>
          <w:p w14:paraId="2E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141,67</w:t>
            </w:r>
          </w:p>
        </w:tc>
      </w:tr>
      <w:tr>
        <w:tc>
          <w:tcPr>
            <w:tcW w:type="dxa" w:w="843"/>
            <w:tcBorders>
              <w:top w:sz="4" w:val="nil"/>
            </w:tcBorders>
          </w:tcPr>
          <w:p w14:paraId="2F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6048"/>
            <w:tcBorders>
              <w:top w:sz="4" w:val="nil"/>
            </w:tcBorders>
          </w:tcPr>
          <w:p w14:paraId="30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дезинфекции камерной подушек</w:t>
            </w:r>
          </w:p>
        </w:tc>
        <w:tc>
          <w:tcPr>
            <w:tcW w:type="dxa" w:w="3446"/>
            <w:tcBorders>
              <w:top w:sz="4" w:val="nil"/>
            </w:tcBorders>
          </w:tcPr>
          <w:p w14:paraId="31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141,67</w:t>
            </w:r>
          </w:p>
        </w:tc>
      </w:tr>
      <w:tr>
        <w:tc>
          <w:tcPr>
            <w:tcW w:type="dxa" w:w="843"/>
            <w:tcBorders>
              <w:top w:sz="4" w:val="nil"/>
            </w:tcBorders>
          </w:tcPr>
          <w:p w14:paraId="32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6048"/>
            <w:tcBorders>
              <w:top w:sz="4" w:val="nil"/>
            </w:tcBorders>
          </w:tcPr>
          <w:p w14:paraId="33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дезинфекции камерной одеял</w:t>
            </w:r>
          </w:p>
        </w:tc>
        <w:tc>
          <w:tcPr>
            <w:tcW w:type="dxa" w:w="3446"/>
            <w:tcBorders>
              <w:top w:sz="4" w:val="nil"/>
            </w:tcBorders>
          </w:tcPr>
          <w:p w14:paraId="34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141,67</w:t>
            </w:r>
          </w:p>
        </w:tc>
      </w:tr>
      <w:tr>
        <w:tc>
          <w:tcPr>
            <w:tcW w:type="dxa" w:w="843"/>
            <w:tcBorders>
              <w:top w:sz="4" w:val="nil"/>
            </w:tcBorders>
          </w:tcPr>
          <w:p w14:paraId="35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6048"/>
            <w:tcBorders>
              <w:top w:sz="4" w:val="nil"/>
            </w:tcBorders>
          </w:tcPr>
          <w:p w14:paraId="36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химической стирке ковровых изделий</w:t>
            </w:r>
          </w:p>
        </w:tc>
        <w:tc>
          <w:tcPr>
            <w:tcW w:type="dxa" w:w="3446"/>
            <w:tcBorders>
              <w:top w:sz="4" w:val="nil"/>
            </w:tcBorders>
          </w:tcPr>
          <w:p w14:paraId="37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258,32</w:t>
            </w:r>
          </w:p>
        </w:tc>
      </w:tr>
    </w:tbl>
    <w:p w14:paraId="38000000">
      <w:pPr>
        <w:keepLines w:val="0"/>
        <w:widowControl w:val="0"/>
        <w:tabs>
          <w:tab w:leader="none" w:pos="252" w:val="left"/>
        </w:tabs>
        <w:spacing w:before="120"/>
        <w:ind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2025 года на официальном государственном сайте http://www.zakupki.gov.ru, закупка № </w:t>
      </w:r>
      <w:r>
        <w:rPr>
          <w:rFonts w:ascii="Times New Roman" w:hAnsi="Times New Roman"/>
          <w:b w:val="1"/>
        </w:rPr>
        <w:t>32514933225</w:t>
      </w:r>
      <w:r>
        <w:rPr>
          <w:rFonts w:ascii="Times New Roman" w:hAnsi="Times New Roman"/>
        </w:rPr>
        <w:t>, на официальном сайте по закупкам атомной отрасли http://zakupki.rosatom.ru, закупка №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1"/>
        </w:rPr>
        <w:t>882</w:t>
      </w:r>
      <w:r>
        <w:rPr>
          <w:rFonts w:ascii="Times New Roman" w:hAnsi="Times New Roman"/>
          <w:b w:val="1"/>
        </w:rPr>
        <w:t>93</w:t>
      </w:r>
      <w:r>
        <w:rPr>
          <w:rFonts w:ascii="Times New Roman" w:hAnsi="Times New Roman"/>
        </w:rPr>
        <w:t>, на сайте ЭТП АО «</w:t>
      </w:r>
      <w:r>
        <w:rPr>
          <w:rFonts w:ascii="Times New Roman" w:hAnsi="Times New Roman"/>
          <w:color w:val="000000"/>
        </w:rPr>
        <w:t>ЭТС НЭП</w:t>
      </w:r>
      <w:r>
        <w:rPr>
          <w:rFonts w:ascii="Times New Roman" w:hAnsi="Times New Roman"/>
        </w:rPr>
        <w:t xml:space="preserve">», закупка № </w:t>
      </w:r>
      <w:r>
        <w:rPr>
          <w:rFonts w:ascii="Times New Roman" w:hAnsi="Times New Roman"/>
          <w:b w:val="1"/>
        </w:rPr>
        <w:t>32514933225</w:t>
      </w:r>
      <w:r>
        <w:rPr>
          <w:rFonts w:ascii="Times New Roman" w:hAnsi="Times New Roman"/>
          <w:b w:val="1"/>
        </w:rPr>
        <w:t>.</w:t>
      </w:r>
    </w:p>
    <w:p w14:paraId="39000000">
      <w:pPr>
        <w:pStyle w:val="Style_3"/>
        <w:tabs>
          <w:tab w:leader="none" w:pos="1307" w:val="clear"/>
        </w:tabs>
        <w:spacing w:before="120"/>
        <w:ind w:firstLine="0" w:left="0" w:right="-30"/>
      </w:pPr>
      <w:r>
        <w:t>Заседание закупочной комиссии проводится в очной форме в 10</w:t>
      </w:r>
      <w:r>
        <w:t xml:space="preserve">  </w:t>
      </w:r>
      <w:r>
        <w:t>:</w:t>
      </w:r>
      <w:r>
        <w:t xml:space="preserve"> 30 </w:t>
      </w:r>
      <w:r>
        <w:t xml:space="preserve"> (время московское) «</w:t>
      </w:r>
      <w:r>
        <w:t xml:space="preserve">  23  </w:t>
      </w:r>
      <w:r>
        <w:t xml:space="preserve">» </w:t>
      </w:r>
      <w:r>
        <w:t>июня</w:t>
      </w:r>
      <w:r>
        <w:t xml:space="preserve"> 2025 года, по адресу: 662972, РФ, ЗАТО Железногорск, г. Железногорск, Красноярского края, ул. Ленина, д.53.</w:t>
      </w:r>
    </w:p>
    <w:p w14:paraId="3A000000">
      <w:pPr>
        <w:widowControl w:val="0"/>
        <w:tabs>
          <w:tab w:leader="none" w:pos="252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Сведения о составе членов закупочной комиссии приведены в разделе «Закупочная комиссия» настоящего протокола.</w:t>
      </w:r>
    </w:p>
    <w:p w14:paraId="3B000000">
      <w:pPr>
        <w:widowControl w:val="0"/>
        <w:tabs>
          <w:tab w:leader="none" w:pos="252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__7_ из 1</w:t>
      </w:r>
      <w:r>
        <w:rPr>
          <w:rFonts w:ascii="Times New Roman" w:hAnsi="Times New Roman"/>
        </w:rPr>
        <w:t>2</w:t>
      </w:r>
      <w:bookmarkStart w:id="3" w:name="_GoBack"/>
      <w:bookmarkEnd w:id="3"/>
      <w:r>
        <w:rPr>
          <w:rFonts w:ascii="Times New Roman" w:hAnsi="Times New Roman"/>
        </w:rPr>
        <w:t xml:space="preserve"> членов закупочной комиссии. Кворум имеется.</w:t>
      </w:r>
    </w:p>
    <w:p w14:paraId="3C000000">
      <w:pPr>
        <w:keepLines w:val="0"/>
        <w:widowControl w:val="0"/>
        <w:numPr>
          <w:ilvl w:val="0"/>
          <w:numId w:val="2"/>
        </w:numPr>
        <w:tabs>
          <w:tab w:leader="none" w:pos="284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 срока подачи заявок на участие в закупке на 05:00 (время московское) «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2025 года на ЭТП АО «</w:t>
      </w:r>
      <w:r>
        <w:rPr>
          <w:rFonts w:ascii="Times New Roman" w:hAnsi="Times New Roman"/>
          <w:color w:val="000000"/>
        </w:rPr>
        <w:t>ЭТС НЭП</w:t>
      </w:r>
      <w:r>
        <w:rPr>
          <w:rFonts w:ascii="Times New Roman" w:hAnsi="Times New Roman"/>
        </w:rPr>
        <w:t>» всего подано: 1 (одна) заявка на участие в закупке.</w:t>
      </w:r>
    </w:p>
    <w:p w14:paraId="3D000000">
      <w:pPr>
        <w:keepNext w:val="1"/>
        <w:widowControl w:val="0"/>
        <w:spacing w:before="120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Результаты открытия доступа к заявкам на участие в закупке:</w:t>
      </w:r>
    </w:p>
    <w:p w14:paraId="3E000000">
      <w:pPr>
        <w:widowControl w:val="0"/>
        <w:ind/>
        <w:rPr>
          <w:rFonts w:ascii="Times New Roman" w:hAnsi="Times New Roman"/>
        </w:rPr>
      </w:pPr>
      <w:r>
        <w:rPr>
          <w:rFonts w:ascii="Times New Roman" w:hAnsi="Times New Roman"/>
        </w:rPr>
        <w:t>Сведения о количестве поданных на участие в открытом запросе предложений заявок:</w:t>
      </w:r>
    </w:p>
    <w:tbl>
      <w:tblPr>
        <w:tblStyle w:val="Style_4"/>
        <w:tblLayout w:type="fixed"/>
        <w:tblCellMar>
          <w:left w:type="dxa" w:w="5"/>
          <w:right w:type="dxa" w:w="7"/>
        </w:tblCellMar>
      </w:tblPr>
      <w:tblGrid>
        <w:gridCol w:w="997"/>
        <w:gridCol w:w="3538"/>
        <w:gridCol w:w="5500"/>
      </w:tblGrid>
      <w:tr>
        <w:tc>
          <w:tcPr>
            <w:tcW w:type="dxa" w:w="997"/>
            <w:tcBorders>
              <w:top w:color="000000" w:sz="4" w:val="single"/>
              <w:left w:color="000000" w:sz="4" w:val="single"/>
              <w:bottom w:color="000000" w:sz="6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3F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Рег. № заявки на ЭТП</w:t>
            </w:r>
          </w:p>
        </w:tc>
        <w:tc>
          <w:tcPr>
            <w:tcW w:type="dxa" w:w="3538"/>
            <w:tcBorders>
              <w:top w:color="000000" w:sz="4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0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открытого запроса предложений</w:t>
            </w:r>
          </w:p>
        </w:tc>
        <w:tc>
          <w:tcPr>
            <w:tcW w:type="dxa" w:w="5500"/>
            <w:tcBorders>
              <w:top w:color="000000" w:sz="4" w:val="single"/>
              <w:left w:color="000000" w:sz="6" w:val="single"/>
              <w:bottom w:color="000000" w:sz="6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41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заявки на участие в открытом запросе предложений</w:t>
            </w:r>
          </w:p>
        </w:tc>
      </w:tr>
      <w:tr>
        <w:tc>
          <w:tcPr>
            <w:tcW w:type="dxa" w:w="997"/>
            <w:tcBorders>
              <w:top w:color="000000" w:sz="6" w:val="single"/>
              <w:left w:color="000000" w:sz="4" w:val="single"/>
              <w:bottom w:color="000000" w:sz="4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2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3538"/>
            <w:tcBorders>
              <w:top w:color="000000" w:sz="6" w:val="single"/>
              <w:left w:color="000000" w:sz="6" w:val="single"/>
              <w:bottom w:color="000000" w:sz="4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3000000">
            <w:pPr>
              <w:widowControl w:val="0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</w:rPr>
              <w:t>Участник №1</w:t>
            </w:r>
          </w:p>
        </w:tc>
        <w:tc>
          <w:tcPr>
            <w:tcW w:type="dxa" w:w="5500"/>
            <w:tcBorders>
              <w:top w:color="000000" w:sz="6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44000000">
            <w:pPr>
              <w:widowControl w:val="0"/>
              <w:ind/>
              <w:jc w:val="left"/>
              <w:rPr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Дата и время регистрации заявки: </w:t>
            </w:r>
          </w:p>
          <w:p w14:paraId="45000000">
            <w:pPr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18</w:t>
            </w:r>
            <w:r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июня</w:t>
            </w:r>
            <w:r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16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</w:tr>
    </w:tbl>
    <w:p w14:paraId="46000000">
      <w:pPr>
        <w:tabs>
          <w:tab w:leader="none" w:pos="426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участника, в соответствии с подпунктом а) пункта 1.1 части 1 статьи 6.4 ЕОСЗ закупка признана несостоявшейся.</w:t>
      </w:r>
    </w:p>
    <w:p w14:paraId="47000000">
      <w:pPr>
        <w:numPr>
          <w:ilvl w:val="0"/>
          <w:numId w:val="3"/>
        </w:numPr>
        <w:tabs>
          <w:tab w:leader="none" w:pos="426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48000000">
      <w:pPr>
        <w:widowControl w:val="0"/>
        <w:numPr>
          <w:ilvl w:val="1"/>
          <w:numId w:val="3"/>
        </w:numPr>
        <w:tabs>
          <w:tab w:leader="none" w:pos="426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Допустить</w:t>
      </w:r>
      <w:r>
        <w:rPr>
          <w:rFonts w:ascii="Times New Roman" w:hAnsi="Times New Roman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 w14:paraId="49000000">
      <w:pPr>
        <w:widowControl w:val="0"/>
        <w:numPr>
          <w:ilvl w:val="2"/>
          <w:numId w:val="3"/>
        </w:numPr>
        <w:tabs>
          <w:tab w:leader="none" w:pos="426" w:val="left"/>
        </w:tabs>
        <w:spacing w:before="120"/>
        <w:ind w:firstLine="0" w:left="720"/>
        <w:rPr>
          <w:b w:val="1"/>
        </w:rPr>
      </w:pPr>
      <w:r>
        <w:rPr>
          <w:rFonts w:ascii="Times New Roman" w:hAnsi="Times New Roman"/>
          <w:b w:val="1"/>
        </w:rPr>
        <w:t>Участник №1</w:t>
      </w:r>
    </w:p>
    <w:p w14:paraId="4A000000">
      <w:pPr>
        <w:widowControl w:val="0"/>
        <w:tabs>
          <w:tab w:leader="none" w:pos="993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4B000000">
      <w:pPr>
        <w:widowControl w:val="0"/>
        <w:tabs>
          <w:tab w:leader="none" w:pos="993" w:val="left"/>
        </w:tabs>
        <w:ind/>
        <w:rPr>
          <w:rFonts w:ascii="Times New Roman" w:hAnsi="Times New Roman"/>
        </w:rPr>
      </w:pPr>
      <w:r>
        <w:rPr>
          <w:rFonts w:ascii="Times New Roman" w:hAnsi="Times New Roman"/>
        </w:rPr>
        <w:t>«за» – __7__ голоса</w:t>
      </w:r>
      <w:r>
        <w:rPr>
          <w:rFonts w:ascii="Times New Roman" w:hAnsi="Times New Roman"/>
          <w:b w:val="1"/>
          <w:i w:val="1"/>
        </w:rPr>
        <w:t>/-</w:t>
      </w:r>
      <w:r>
        <w:rPr>
          <w:rFonts w:ascii="Times New Roman" w:hAnsi="Times New Roman"/>
          <w:b w:val="1"/>
          <w:i w:val="1"/>
        </w:rPr>
        <w:t>ов</w:t>
      </w:r>
      <w:r>
        <w:rPr>
          <w:rFonts w:ascii="Times New Roman" w:hAnsi="Times New Roman"/>
        </w:rPr>
        <w:t xml:space="preserve">; </w:t>
      </w:r>
    </w:p>
    <w:p w14:paraId="4C000000">
      <w:pPr>
        <w:widowControl w:val="0"/>
        <w:tabs>
          <w:tab w:leader="none" w:pos="993" w:val="left"/>
        </w:tabs>
        <w:ind/>
        <w:rPr>
          <w:rFonts w:ascii="Times New Roman" w:hAnsi="Times New Roman"/>
        </w:rPr>
      </w:pPr>
      <w:r>
        <w:rPr>
          <w:rFonts w:ascii="Times New Roman" w:hAnsi="Times New Roman"/>
        </w:rPr>
        <w:t>«против» – __0__ голоса</w:t>
      </w:r>
      <w:r>
        <w:rPr>
          <w:rFonts w:ascii="Times New Roman" w:hAnsi="Times New Roman"/>
          <w:b w:val="1"/>
          <w:i w:val="1"/>
        </w:rPr>
        <w:t>/-</w:t>
      </w:r>
      <w:r>
        <w:rPr>
          <w:rFonts w:ascii="Times New Roman" w:hAnsi="Times New Roman"/>
          <w:b w:val="1"/>
          <w:i w:val="1"/>
        </w:rPr>
        <w:t>ов</w:t>
      </w:r>
      <w:r>
        <w:rPr>
          <w:rFonts w:ascii="Times New Roman" w:hAnsi="Times New Roman"/>
        </w:rPr>
        <w:t xml:space="preserve">;  </w:t>
      </w:r>
    </w:p>
    <w:p w14:paraId="4D000000">
      <w:pPr>
        <w:widowControl w:val="0"/>
        <w:ind/>
        <w:rPr>
          <w:rFonts w:ascii="Times New Roman" w:hAnsi="Times New Roman"/>
          <w:b w:val="1"/>
          <w:i w:val="1"/>
        </w:rPr>
      </w:pPr>
      <w:r>
        <w:rPr>
          <w:rFonts w:ascii="Times New Roman" w:hAnsi="Times New Roman"/>
        </w:rPr>
        <w:t>«воздержался» – ___0__ голоса</w:t>
      </w:r>
      <w:r>
        <w:rPr>
          <w:rFonts w:ascii="Times New Roman" w:hAnsi="Times New Roman"/>
          <w:b w:val="1"/>
          <w:i w:val="1"/>
        </w:rPr>
        <w:t>/-</w:t>
      </w:r>
      <w:r>
        <w:rPr>
          <w:rFonts w:ascii="Times New Roman" w:hAnsi="Times New Roman"/>
          <w:b w:val="1"/>
          <w:i w:val="1"/>
        </w:rPr>
        <w:t>ов</w:t>
      </w:r>
    </w:p>
    <w:p w14:paraId="4E000000">
      <w:pPr>
        <w:keepLines w:val="0"/>
        <w:widowControl w:val="0"/>
        <w:numPr>
          <w:ilvl w:val="1"/>
          <w:numId w:val="3"/>
        </w:numPr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Отказать в допуске к дальнейшему участию в закупке следующим участникам закупки, подавшим заявки: –</w:t>
      </w:r>
    </w:p>
    <w:p w14:paraId="4F000000">
      <w:pPr>
        <w:widowControl w:val="0"/>
        <w:spacing w:before="120"/>
        <w:ind/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>Количество заявок на участие в закупке, которые отклонены: 0  заявок на участие в закупке.</w:t>
      </w:r>
    </w:p>
    <w:p w14:paraId="50000000">
      <w:pPr>
        <w:widowControl w:val="0"/>
        <w:spacing w:before="120"/>
        <w:ind w:hanging="142" w:left="426"/>
        <w:rPr>
          <w:rFonts w:ascii="Times New Roman" w:hAnsi="Times New Roman"/>
          <w:b w:val="1"/>
          <w:sz w:val="20"/>
          <w:u w:val="single"/>
        </w:rPr>
      </w:pPr>
      <w:r>
        <w:br w:type="page"/>
      </w:r>
    </w:p>
    <w:p w14:paraId="51000000">
      <w:pPr>
        <w:widowControl w:val="0"/>
        <w:spacing w:before="120"/>
        <w:ind w:hanging="142" w:left="426"/>
        <w:rPr>
          <w:rFonts w:ascii="Times New Roman" w:hAnsi="Times New Roman"/>
          <w:b w:val="1"/>
          <w:sz w:val="20"/>
          <w:u w:val="single"/>
        </w:rPr>
      </w:pPr>
      <w:r>
        <w:rPr>
          <w:rFonts w:ascii="Times New Roman" w:hAnsi="Times New Roman"/>
          <w:b w:val="1"/>
          <w:sz w:val="20"/>
          <w:u w:val="single"/>
        </w:rPr>
        <w:t xml:space="preserve">Закупочная комиссия: </w:t>
      </w:r>
    </w:p>
    <w:p w14:paraId="52000000">
      <w:pPr>
        <w:ind w:firstLine="0"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3000000">
      <w:pPr>
        <w:numPr>
          <w:ilvl w:val="0"/>
          <w:numId w:val="4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подтверждает объективность принимаемых решений;</w:t>
      </w:r>
    </w:p>
    <w:p w14:paraId="54000000">
      <w:pPr>
        <w:numPr>
          <w:ilvl w:val="0"/>
          <w:numId w:val="4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заявляет об отсутствии личной заинтересованности в исходе закупки;</w:t>
      </w:r>
    </w:p>
    <w:p w14:paraId="55000000">
      <w:pPr>
        <w:numPr>
          <w:ilvl w:val="0"/>
          <w:numId w:val="4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принимает на себя обязательства:</w:t>
      </w:r>
    </w:p>
    <w:p w14:paraId="56000000">
      <w:pPr>
        <w:numPr>
          <w:ilvl w:val="0"/>
          <w:numId w:val="4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57000000">
      <w:pPr>
        <w:numPr>
          <w:ilvl w:val="0"/>
          <w:numId w:val="4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58000000">
      <w:pPr>
        <w:numPr>
          <w:ilvl w:val="0"/>
          <w:numId w:val="4"/>
        </w:numPr>
        <w:ind w:firstLine="284" w:left="0"/>
        <w:rPr>
          <w:sz w:val="20"/>
        </w:rPr>
      </w:pPr>
      <w:r>
        <w:rPr>
          <w:rFonts w:ascii="Times New Roman" w:hAnsi="Times New Roman"/>
          <w:sz w:val="20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Style_4"/>
        <w:tblLayout w:type="fixed"/>
        <w:tblCellMar>
          <w:left w:type="dxa" w:w="5"/>
          <w:right w:type="dxa" w:w="5"/>
        </w:tblCellMar>
      </w:tblPr>
      <w:tblGrid>
        <w:gridCol w:w="2503"/>
        <w:gridCol w:w="5551"/>
        <w:gridCol w:w="1981"/>
      </w:tblGrid>
      <w:t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59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ФИО </w:t>
            </w: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5A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Должность 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5B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Подпись </w:t>
            </w:r>
          </w:p>
        </w:tc>
      </w:tr>
      <w:tr>
        <w:tc>
          <w:tcPr>
            <w:tcW w:type="dxa" w:w="100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5C000000">
            <w:pPr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Председатель закупочной комиссии: </w:t>
            </w: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5D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</w:t>
            </w:r>
            <w:r>
              <w:rPr>
                <w:rFonts w:ascii="Times New Roman" w:hAnsi="Times New Roman"/>
              </w:rPr>
              <w:t xml:space="preserve">Ю. </w:t>
            </w:r>
            <w:r>
              <w:rPr>
                <w:rFonts w:ascii="Times New Roman" w:hAnsi="Times New Roman"/>
              </w:rPr>
              <w:t>Марков</w:t>
            </w: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5E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предприятия по материально-техническому снабжению и комплектации оборудования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5F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00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0000000">
            <w:pPr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Члены закупочной комиссии: </w:t>
            </w: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1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2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63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4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5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66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7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8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69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A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B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6C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D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E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6F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0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1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2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3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4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5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6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7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8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9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A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B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C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D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E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F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0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1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00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2000000">
            <w:pPr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Секретарь закупочной комиссии (с </w:t>
            </w:r>
            <w:r>
              <w:rPr>
                <w:rFonts w:ascii="Times New Roman" w:hAnsi="Times New Roman"/>
                <w:b w:val="1"/>
                <w:i w:val="1"/>
              </w:rPr>
              <w:t>правом голоса</w:t>
            </w:r>
            <w:r>
              <w:rPr>
                <w:rFonts w:ascii="Times New Roman" w:hAnsi="Times New Roman"/>
                <w:b w:val="1"/>
              </w:rPr>
              <w:t xml:space="preserve">): </w:t>
            </w:r>
          </w:p>
        </w:tc>
      </w:tr>
      <w:tr>
        <w:trPr>
          <w:trHeight w:hRule="atLeast" w:val="567"/>
        </w:trPr>
        <w:tc>
          <w:tcPr>
            <w:tcW w:type="dxa" w:w="25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3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.Л</w:t>
            </w:r>
            <w:r>
              <w:rPr>
                <w:rFonts w:ascii="Times New Roman" w:hAnsi="Times New Roman"/>
              </w:rPr>
              <w:t>.Лебедева</w:t>
            </w:r>
          </w:p>
        </w:tc>
        <w:tc>
          <w:tcPr>
            <w:tcW w:type="dxa" w:w="5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4000000">
            <w:pPr>
              <w:widowControl w:val="0"/>
              <w:ind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</w:rPr>
              <w:t>Эксперт</w:t>
            </w:r>
            <w:r>
              <w:rPr>
                <w:rFonts w:ascii="Times New Roman" w:hAnsi="Times New Roman"/>
              </w:rPr>
              <w:t xml:space="preserve"> по закупкам группы сопровождения закупочных процедур (собственные и внебюджетные средства) отдела закупок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5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</w:tbl>
    <w:p w14:paraId="86000000">
      <w:pPr>
        <w:widowControl w:val="0"/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Проверено: Юрисконсульт ОЗ______________________Н.В. Смирнова</w:t>
      </w:r>
    </w:p>
    <w:p w14:paraId="87000000">
      <w:pPr>
        <w:widowControl w:val="0"/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Исполнитель: Специалист ОЗ ______________________</w:t>
      </w:r>
      <w:r>
        <w:rPr>
          <w:rFonts w:ascii="Times New Roman" w:hAnsi="Times New Roman"/>
        </w:rPr>
        <w:t>Ю.В.Зернова</w:t>
      </w:r>
    </w:p>
    <w:p w14:paraId="88000000">
      <w:pPr>
        <w:keepLines w:val="0"/>
        <w:widowControl w:val="0"/>
        <w:ind/>
        <w:rPr>
          <w:rFonts w:ascii="Times New Roman" w:hAnsi="Times New Roman"/>
          <w:b w:val="1"/>
        </w:rPr>
      </w:pPr>
    </w:p>
    <w:sectPr>
      <w:footerReference r:id="rId1" w:type="default"/>
      <w:pgSz w:h="16838" w:orient="portrait" w:w="11906"/>
      <w:pgMar w:bottom="524" w:footer="467" w:gutter="0" w:header="0" w:left="1134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tabs>
        <w:tab w:leader="none" w:pos="5017" w:val="center"/>
      </w:tabs>
      <w:ind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№ 32514933225/1</w:t>
    </w:r>
  </w:p>
  <w:p w14:paraId="02000000">
    <w:pPr>
      <w:widowControl w:val="0"/>
      <w:tabs>
        <w:tab w:leader="none" w:pos="5017" w:val="center"/>
      </w:tabs>
      <w:ind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заседания закупочной комиссии по рассмотрению первых частей заявок на участие в открытом запросе предложений на оказание услуг по стирке, дезинфекции камерной, химической чистке белья и прочих изделий для ООО "С/п Юбилейный ГХК"</w:t>
    </w:r>
  </w:p>
  <w:p w14:paraId="03000000">
    <w:pPr>
      <w:widowControl w:val="0"/>
      <w:tabs>
        <w:tab w:leader="none" w:pos="5017" w:val="center"/>
      </w:tabs>
      <w:ind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dirty="1"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dirty="1"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>3</w:t>
    </w:r>
    <w:r>
      <w:rPr>
        <w:rFonts w:ascii="Times New Roman" w:hAnsi="Times New Roman"/>
        <w:sz w:val="16"/>
      </w:rPr>
      <w:fldChar w:fldCharType="end"/>
    </w: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080" w:val="left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leader="none" w:pos="1440" w:val="left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leader="none" w:pos="1800" w:val="left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leader="none" w:pos="2160" w:val="left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leader="none" w:pos="2520" w:val="left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leader="none" w:pos="2880" w:val="left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leader="none" w:pos="3240" w:val="left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leader="none" w:pos="3600" w:val="left"/>
        </w:tabs>
        <w:ind w:hanging="360" w:left="3600"/>
      </w:pPr>
    </w:lvl>
  </w:abstractNum>
  <w:abstractNum w:abstractNumId="1">
    <w:lvl w:ilvl="0">
      <w:start w:val="1"/>
      <w:numFmt w:val="decimal"/>
      <w:lvlText w:val="%1."/>
      <w:lvlJc w:val="left"/>
      <w:pPr>
        <w:tabs>
          <w:tab w:leader="none" w:pos="0" w:val="left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leader="none" w:pos="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0" w:val="left"/>
        </w:tabs>
        <w:ind w:hanging="180" w:left="648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leader="none" w:pos="0" w:val="left"/>
        </w:tabs>
        <w:ind w:hanging="360" w:left="720"/>
      </w:pPr>
      <w:rPr>
        <w:b w:val="1"/>
      </w:r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hanging="720" w:left="1571"/>
      </w:pPr>
      <w:rPr>
        <w:b w:val="1"/>
      </w:rPr>
    </w:lvl>
    <w:lvl w:ilvl="2">
      <w:start w:val="1"/>
      <w:numFmt w:val="decimal"/>
      <w:lvlText w:val="%1.%2.%3."/>
      <w:lvlJc w:val="left"/>
      <w:pPr>
        <w:tabs>
          <w:tab w:leader="none" w:pos="0" w:val="left"/>
        </w:tabs>
        <w:ind w:hanging="720" w:left="1288"/>
      </w:pPr>
      <w:rPr>
        <w:rFonts w:ascii="Times New Roman" w:hAnsi="Times New Roman"/>
        <w:b w:val="1"/>
      </w:rPr>
    </w:lvl>
    <w:lvl w:ilvl="3">
      <w:start w:val="1"/>
      <w:numFmt w:val="decimal"/>
      <w:lvlText w:val="%1.%2.%3.%4."/>
      <w:lvlJc w:val="left"/>
      <w:pPr>
        <w:tabs>
          <w:tab w:leader="none" w:pos="0" w:val="left"/>
        </w:tabs>
        <w:ind w:hanging="1080" w:left="2913"/>
      </w:pPr>
    </w:lvl>
    <w:lvl w:ilvl="4">
      <w:start w:val="1"/>
      <w:numFmt w:val="decimal"/>
      <w:lvlText w:val="%1.%2.%3.%4.%5."/>
      <w:lvlJc w:val="left"/>
      <w:pPr>
        <w:tabs>
          <w:tab w:leader="none" w:pos="0" w:val="left"/>
        </w:tabs>
        <w:ind w:hanging="1080" w:left="3404"/>
      </w:pPr>
    </w:lvl>
    <w:lvl w:ilvl="5">
      <w:start w:val="1"/>
      <w:numFmt w:val="decimal"/>
      <w:lvlText w:val="%1.%2.%3.%4.%5.%6."/>
      <w:lvlJc w:val="left"/>
      <w:pPr>
        <w:tabs>
          <w:tab w:leader="none" w:pos="0" w:val="left"/>
        </w:tabs>
        <w:ind w:hanging="1440" w:left="4255"/>
      </w:pPr>
    </w:lvl>
    <w:lvl w:ilvl="6">
      <w:start w:val="1"/>
      <w:numFmt w:val="decimal"/>
      <w:lvlText w:val="%1.%2.%3.%4.%5.%6.%7."/>
      <w:lvlJc w:val="left"/>
      <w:pPr>
        <w:tabs>
          <w:tab w:leader="none" w:pos="0" w:val="left"/>
        </w:tabs>
        <w:ind w:hanging="1440" w:left="4746"/>
      </w:pPr>
    </w:lvl>
    <w:lvl w:ilvl="7">
      <w:start w:val="1"/>
      <w:numFmt w:val="decimal"/>
      <w:lvlText w:val="%1.%2.%3.%4.%5.%6.%7.%8."/>
      <w:lvlJc w:val="left"/>
      <w:pPr>
        <w:tabs>
          <w:tab w:leader="none" w:pos="0" w:val="left"/>
        </w:tabs>
        <w:ind w:hanging="1800" w:left="5597"/>
      </w:pPr>
    </w:lvl>
    <w:lvl w:ilvl="8">
      <w:start w:val="1"/>
      <w:numFmt w:val="decimal"/>
      <w:lvlText w:val="%1.%2.%3.%4.%5.%6.%7.%8.%9."/>
      <w:lvlJc w:val="left"/>
      <w:pPr>
        <w:tabs>
          <w:tab w:leader="none" w:pos="0" w:val="left"/>
        </w:tabs>
        <w:ind w:hanging="1800" w:left="6088"/>
      </w:pPr>
    </w:lvl>
  </w:abstractNum>
  <w:abstractNum w:abstractNumId="3">
    <w:lvl w:ilvl="0">
      <w:start w:val="1"/>
      <w:numFmt w:val="bullet"/>
      <w:lvlText w:val=""/>
      <w:lvlJc w:val="left"/>
      <w:pPr>
        <w:tabs>
          <w:tab w:leader="none" w:pos="0" w:val="left"/>
        </w:tabs>
        <w:ind w:hanging="360" w:left="72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4">
    <w:lvl w:ilvl="0">
      <w:start w:val="1"/>
      <w:numFmt w:val="decimal"/>
      <w:pStyle w:val="Style_32"/>
      <w:lvlText w:val="%1."/>
      <w:lvlJc w:val="left"/>
      <w:pPr>
        <w:tabs>
          <w:tab w:leader="none" w:pos="1985" w:val="left"/>
        </w:tabs>
        <w:ind w:firstLine="709" w:left="0"/>
      </w:pPr>
      <w:rPr>
        <w:b w:val="1"/>
        <w:i w:val="0"/>
        <w:caps w:val="0"/>
        <w:smallCaps w:val="0"/>
        <w:strike w:val="0"/>
        <w:color w:val="000000"/>
        <w:spacing w:val="0"/>
        <w:sz w:val="20"/>
        <w:u w:val="none"/>
      </w:rPr>
    </w:lvl>
    <w:lvl w:ilvl="1">
      <w:start w:val="1"/>
      <w:numFmt w:val="decimal"/>
      <w:pStyle w:val="Style_52"/>
      <w:lvlText w:val="%1.%2"/>
      <w:lvlJc w:val="left"/>
      <w:pPr>
        <w:tabs>
          <w:tab w:leader="none" w:pos="1985" w:val="left"/>
        </w:tabs>
        <w:ind w:firstLine="709" w:left="0"/>
      </w:pPr>
      <w:rPr>
        <w:b w:val="1"/>
        <w:i w:val="0"/>
        <w:caps w:val="0"/>
        <w:smallCaps w:val="0"/>
        <w:strike w:val="0"/>
        <w:color w:val="000000"/>
        <w:spacing w:val="0"/>
        <w:sz w:val="28"/>
        <w:u w:val="none"/>
      </w:rPr>
    </w:lvl>
    <w:lvl w:ilvl="2">
      <w:start w:val="1"/>
      <w:numFmt w:val="decimal"/>
      <w:pStyle w:val="Style_21"/>
      <w:lvlText w:val="%1.%2.%3"/>
      <w:lvlJc w:val="left"/>
      <w:pPr>
        <w:tabs>
          <w:tab w:leader="none" w:pos="1985" w:val="left"/>
        </w:tabs>
        <w:ind w:firstLine="709" w:left="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0"/>
        <w:u w:val="none"/>
      </w:rPr>
    </w:lvl>
    <w:lvl w:ilvl="3">
      <w:start w:val="1"/>
      <w:numFmt w:val="decimal"/>
      <w:pStyle w:val="Style_47"/>
      <w:lvlText w:val="%1.%2.%3.%4"/>
      <w:lvlJc w:val="left"/>
      <w:pPr>
        <w:tabs>
          <w:tab w:leader="none" w:pos="1985" w:val="left"/>
        </w:tabs>
        <w:ind w:firstLine="709" w:left="0"/>
      </w:pPr>
      <w:rPr>
        <w:b w:val="0"/>
        <w:i w:val="0"/>
        <w:caps w:val="0"/>
        <w:smallCaps w:val="0"/>
        <w:strike w:val="0"/>
        <w:color w:val="000000"/>
        <w:spacing w:val="0"/>
        <w:sz w:val="28"/>
        <w:u w:val="none"/>
      </w:rPr>
    </w:lvl>
    <w:lvl w:ilvl="4">
      <w:start w:val="1"/>
      <w:numFmt w:val="decimal"/>
      <w:pStyle w:val="Style_50"/>
      <w:lvlText w:val="%1.%2.%3.%4.%5"/>
      <w:lvlJc w:val="left"/>
      <w:pPr>
        <w:tabs>
          <w:tab w:leader="none" w:pos="1985" w:val="left"/>
        </w:tabs>
        <w:ind w:firstLine="709" w:left="0"/>
      </w:pPr>
      <w:rPr>
        <w:b w:val="0"/>
        <w:i w:val="0"/>
        <w:caps w:val="0"/>
        <w:smallCaps w:val="0"/>
        <w:strike w:val="0"/>
        <w:color w:val="000000"/>
        <w:spacing w:val="0"/>
        <w:sz w:val="20"/>
        <w:u w:val="none"/>
      </w:rPr>
    </w:lvl>
    <w:lvl w:ilvl="5">
      <w:start w:val="1"/>
      <w:numFmt w:val="russianLower"/>
      <w:pStyle w:val="Style_34"/>
      <w:lvlText w:val="%6)"/>
      <w:lvlJc w:val="left"/>
      <w:pPr>
        <w:tabs>
          <w:tab w:leader="none" w:pos="360" w:val="left"/>
        </w:tabs>
        <w:ind w:firstLine="0" w:left="0"/>
      </w:pPr>
    </w:lvl>
    <w:lvl w:ilvl="6">
      <w:numFmt w:val="decimal"/>
      <w:pStyle w:val="Style_7"/>
      <w:lvlText w:val=""/>
      <w:lvlJc w:val="left"/>
      <w:pPr>
        <w:tabs>
          <w:tab w:leader="none" w:pos="0" w:val="left"/>
        </w:tabs>
        <w:ind w:firstLine="0" w:left="0"/>
      </w:pPr>
    </w:lvl>
    <w:lvl w:ilvl="7"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8">
      <w:numFmt w:val="decimal"/>
      <w:lvlText w:val=""/>
      <w:lvlJc w:val="left"/>
      <w:pPr>
        <w:tabs>
          <w:tab w:leader="none" w:pos="0" w:val="left"/>
        </w:tabs>
        <w:ind w:firstLine="0" w:left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keepLines w:val="1"/>
      <w:ind/>
      <w:jc w:val="both"/>
    </w:pPr>
    <w:rPr>
      <w:rFonts w:ascii="Arial" w:hAnsi="Arial"/>
      <w:sz w:val="24"/>
    </w:rPr>
  </w:style>
  <w:style w:default="1" w:styleId="Style_5_ch" w:type="character">
    <w:name w:val="Normal"/>
    <w:link w:val="Style_5"/>
    <w:rPr>
      <w:rFonts w:ascii="Arial" w:hAnsi="Arial"/>
      <w:sz w:val="24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Пункт-7"/>
    <w:basedOn w:val="Style_5"/>
    <w:link w:val="Style_7_ch"/>
    <w:pPr>
      <w:keepLines w:val="0"/>
      <w:numPr>
        <w:ilvl w:val="6"/>
        <w:numId w:val="5"/>
      </w:numPr>
      <w:ind w:firstLine="709" w:left="0"/>
    </w:pPr>
    <w:rPr>
      <w:rFonts w:ascii="Times New Roman" w:hAnsi="Times New Roman"/>
      <w:sz w:val="28"/>
    </w:rPr>
  </w:style>
  <w:style w:styleId="Style_7_ch" w:type="character">
    <w:name w:val="Пункт-7"/>
    <w:basedOn w:val="Style_5_ch"/>
    <w:link w:val="Style_7"/>
    <w:rPr>
      <w:rFonts w:ascii="Times New Roman" w:hAnsi="Times New Roman"/>
      <w:sz w:val="28"/>
    </w:rPr>
  </w:style>
  <w:style w:styleId="Style_8" w:type="paragraph">
    <w:name w:val="toc 4"/>
    <w:next w:val="Style_5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5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5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annotation reference"/>
    <w:link w:val="Style_11_ch"/>
    <w:rPr>
      <w:sz w:val="16"/>
    </w:rPr>
  </w:style>
  <w:style w:styleId="Style_11_ch" w:type="character">
    <w:name w:val="annotation reference"/>
    <w:link w:val="Style_11"/>
    <w:rPr>
      <w:sz w:val="16"/>
    </w:rPr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spacing w:after="60" w:before="240"/>
      <w:ind/>
      <w:outlineLvl w:val="2"/>
    </w:pPr>
    <w:rPr>
      <w:b w:val="1"/>
      <w:sz w:val="28"/>
    </w:rPr>
  </w:style>
  <w:style w:styleId="Style_12_ch" w:type="character">
    <w:name w:val="heading 3"/>
    <w:basedOn w:val="Style_5_ch"/>
    <w:link w:val="Style_12"/>
    <w:rPr>
      <w:b w:val="1"/>
      <w:sz w:val="28"/>
    </w:rPr>
  </w:style>
  <w:style w:styleId="Style_13" w:type="paragraph">
    <w:name w:val="FollowedHyperlink"/>
    <w:link w:val="Style_13_ch"/>
    <w:rPr>
      <w:color w:val="800080"/>
      <w:u w:val="single"/>
    </w:rPr>
  </w:style>
  <w:style w:styleId="Style_13_ch" w:type="character">
    <w:name w:val="FollowedHyperlink"/>
    <w:link w:val="Style_13"/>
    <w:rPr>
      <w:color w:val="800080"/>
      <w:u w:val="single"/>
    </w:rPr>
  </w:style>
  <w:style w:styleId="Style_14" w:type="paragraph">
    <w:name w:val="Символ нумерации"/>
    <w:link w:val="Style_14_ch"/>
  </w:style>
  <w:style w:styleId="Style_14_ch" w:type="character">
    <w:name w:val="Символ нумерации"/>
    <w:link w:val="Style_14"/>
  </w:style>
  <w:style w:styleId="Style_15" w:type="paragraph">
    <w:name w:val="Колонтитул"/>
    <w:basedOn w:val="Style_5"/>
    <w:link w:val="Style_15_ch"/>
  </w:style>
  <w:style w:styleId="Style_15_ch" w:type="character">
    <w:name w:val="Колонтитул"/>
    <w:basedOn w:val="Style_5_ch"/>
    <w:link w:val="Style_15"/>
  </w:style>
  <w:style w:styleId="Style_16" w:type="paragraph">
    <w:name w:val="List Paragraph"/>
    <w:basedOn w:val="Style_5"/>
    <w:link w:val="Style_16_ch"/>
    <w:pPr>
      <w:ind w:firstLine="0" w:left="720"/>
      <w:contextualSpacing w:val="1"/>
    </w:pPr>
  </w:style>
  <w:style w:styleId="Style_16_ch" w:type="character">
    <w:name w:val="List Paragraph"/>
    <w:basedOn w:val="Style_5_ch"/>
    <w:link w:val="Style_16"/>
  </w:style>
  <w:style w:styleId="Style_17" w:type="paragraph">
    <w:name w:val="index heading"/>
    <w:basedOn w:val="Style_5"/>
    <w:link w:val="Style_17_ch"/>
    <w:rPr>
      <w:rFonts w:ascii="PT Astra Serif" w:hAnsi="PT Astra Serif"/>
    </w:rPr>
  </w:style>
  <w:style w:styleId="Style_17_ch" w:type="character">
    <w:name w:val="index heading"/>
    <w:basedOn w:val="Style_5_ch"/>
    <w:link w:val="Style_17"/>
    <w:rPr>
      <w:rFonts w:ascii="PT Astra Serif" w:hAnsi="PT Astra Serif"/>
    </w:rPr>
  </w:style>
  <w:style w:styleId="Style_18" w:type="paragraph">
    <w:name w:val="Body Text"/>
    <w:basedOn w:val="Style_5"/>
    <w:link w:val="Style_18_ch"/>
    <w:pPr>
      <w:spacing w:after="160"/>
      <w:ind/>
    </w:pPr>
  </w:style>
  <w:style w:styleId="Style_18_ch" w:type="character">
    <w:name w:val="Body Text"/>
    <w:basedOn w:val="Style_5_ch"/>
    <w:link w:val="Style_18"/>
  </w:style>
  <w:style w:styleId="Style_19" w:type="paragraph">
    <w:name w:val="Document Map"/>
    <w:basedOn w:val="Style_5"/>
    <w:link w:val="Style_19_ch"/>
    <w:rPr>
      <w:rFonts w:ascii="Tahoma" w:hAnsi="Tahoma"/>
      <w:sz w:val="16"/>
    </w:rPr>
  </w:style>
  <w:style w:styleId="Style_19_ch" w:type="character">
    <w:name w:val="Document Map"/>
    <w:basedOn w:val="Style_5_ch"/>
    <w:link w:val="Style_19"/>
    <w:rPr>
      <w:rFonts w:ascii="Tahoma" w:hAnsi="Tahoma"/>
      <w:sz w:val="16"/>
    </w:rPr>
  </w:style>
  <w:style w:styleId="Style_20" w:type="paragraph">
    <w:name w:val="Содержимое таблицы"/>
    <w:basedOn w:val="Style_5"/>
    <w:link w:val="Style_20_ch"/>
    <w:pPr>
      <w:widowControl w:val="0"/>
      <w:ind/>
    </w:pPr>
  </w:style>
  <w:style w:styleId="Style_20_ch" w:type="character">
    <w:name w:val="Содержимое таблицы"/>
    <w:basedOn w:val="Style_5_ch"/>
    <w:link w:val="Style_20"/>
  </w:style>
  <w:style w:styleId="Style_21" w:type="paragraph">
    <w:name w:val="Пункт-3"/>
    <w:basedOn w:val="Style_5"/>
    <w:link w:val="Style_21_ch"/>
    <w:pPr>
      <w:keepLines w:val="0"/>
      <w:numPr>
        <w:ilvl w:val="2"/>
        <w:numId w:val="5"/>
      </w:numPr>
      <w:ind/>
    </w:pPr>
    <w:rPr>
      <w:rFonts w:ascii="Times New Roman" w:hAnsi="Times New Roman"/>
      <w:sz w:val="28"/>
    </w:rPr>
  </w:style>
  <w:style w:styleId="Style_21_ch" w:type="character">
    <w:name w:val="Пункт-3"/>
    <w:basedOn w:val="Style_5_ch"/>
    <w:link w:val="Style_21"/>
    <w:rPr>
      <w:rFonts w:ascii="Times New Roman" w:hAnsi="Times New Roman"/>
      <w:sz w:val="28"/>
    </w:rPr>
  </w:style>
  <w:style w:styleId="Style_22" w:type="paragraph">
    <w:name w:val="Основной текст с отступом 31"/>
    <w:basedOn w:val="Style_5"/>
    <w:link w:val="Style_22_ch"/>
    <w:pPr>
      <w:keepLines w:val="0"/>
      <w:ind w:firstLine="709" w:left="0"/>
    </w:pPr>
    <w:rPr>
      <w:rFonts w:ascii="Times New Roman" w:hAnsi="Times New Roman"/>
      <w:b w:val="1"/>
      <w:sz w:val="26"/>
    </w:rPr>
  </w:style>
  <w:style w:styleId="Style_22_ch" w:type="character">
    <w:name w:val="Основной текст с отступом 31"/>
    <w:basedOn w:val="Style_5_ch"/>
    <w:link w:val="Style_22"/>
    <w:rPr>
      <w:rFonts w:ascii="Times New Roman" w:hAnsi="Times New Roman"/>
      <w:b w:val="1"/>
      <w:sz w:val="26"/>
    </w:rPr>
  </w:style>
  <w:style w:styleId="Style_23" w:type="paragraph">
    <w:name w:val="Revision"/>
    <w:link w:val="Style_23_ch"/>
    <w:rPr>
      <w:rFonts w:ascii="Arial" w:hAnsi="Arial"/>
      <w:sz w:val="24"/>
    </w:rPr>
  </w:style>
  <w:style w:styleId="Style_23_ch" w:type="character">
    <w:name w:val="Revision"/>
    <w:link w:val="Style_23"/>
    <w:rPr>
      <w:rFonts w:ascii="Arial" w:hAnsi="Arial"/>
      <w:sz w:val="24"/>
    </w:rPr>
  </w:style>
  <w:style w:styleId="Style_24" w:type="paragraph">
    <w:name w:val="toc 3"/>
    <w:next w:val="Style_5"/>
    <w:link w:val="Style_2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4_ch" w:type="character">
    <w:name w:val="toc 3"/>
    <w:link w:val="Style_24"/>
    <w:rPr>
      <w:rFonts w:ascii="XO Thames" w:hAnsi="XO Thames"/>
      <w:sz w:val="28"/>
    </w:rPr>
  </w:style>
  <w:style w:styleId="Style_25" w:type="paragraph">
    <w:name w:val="Основной текст 31"/>
    <w:basedOn w:val="Style_5"/>
    <w:link w:val="Style_25_ch"/>
    <w:pPr>
      <w:keepLines w:val="0"/>
      <w:spacing w:after="120"/>
      <w:ind/>
      <w:jc w:val="left"/>
    </w:pPr>
    <w:rPr>
      <w:rFonts w:ascii="Book Antiqua" w:hAnsi="Book Antiqua"/>
      <w:sz w:val="16"/>
    </w:rPr>
  </w:style>
  <w:style w:styleId="Style_25_ch" w:type="character">
    <w:name w:val="Основной текст 31"/>
    <w:basedOn w:val="Style_5_ch"/>
    <w:link w:val="Style_25"/>
    <w:rPr>
      <w:rFonts w:ascii="Book Antiqua" w:hAnsi="Book Antiqua"/>
      <w:sz w:val="16"/>
    </w:rPr>
  </w:style>
  <w:style w:styleId="Style_1" w:type="paragraph">
    <w:name w:val="P-Style"/>
    <w:basedOn w:val="Style_5"/>
    <w:link w:val="Style_1_ch"/>
    <w:pPr>
      <w:keepLines w:val="0"/>
      <w:spacing w:after="95" w:line="276" w:lineRule="auto"/>
      <w:ind/>
      <w:jc w:val="left"/>
    </w:pPr>
    <w:rPr>
      <w:rFonts w:ascii="Times New Roman" w:hAnsi="Times New Roman"/>
    </w:rPr>
  </w:style>
  <w:style w:styleId="Style_1_ch" w:type="character">
    <w:name w:val="P-Style"/>
    <w:basedOn w:val="Style_5_ch"/>
    <w:link w:val="Style_1"/>
    <w:rPr>
      <w:rFonts w:ascii="Times New Roman" w:hAnsi="Times New Roman"/>
    </w:rPr>
  </w:style>
  <w:style w:styleId="Style_26" w:type="paragraph">
    <w:name w:val="annotation text"/>
    <w:basedOn w:val="Style_5"/>
    <w:link w:val="Style_26_ch"/>
    <w:rPr>
      <w:sz w:val="20"/>
    </w:rPr>
  </w:style>
  <w:style w:styleId="Style_26_ch" w:type="character">
    <w:name w:val="annotation text"/>
    <w:basedOn w:val="Style_5_ch"/>
    <w:link w:val="Style_26"/>
    <w:rPr>
      <w:sz w:val="20"/>
    </w:rPr>
  </w:style>
  <w:style w:styleId="Style_27" w:type="paragraph">
    <w:name w:val="Balloon Text"/>
    <w:basedOn w:val="Style_5"/>
    <w:link w:val="Style_27_ch"/>
    <w:rPr>
      <w:rFonts w:ascii="Tahoma" w:hAnsi="Tahoma"/>
      <w:sz w:val="16"/>
    </w:rPr>
  </w:style>
  <w:style w:styleId="Style_27_ch" w:type="character">
    <w:name w:val="Balloon Text"/>
    <w:basedOn w:val="Style_5_ch"/>
    <w:link w:val="Style_27"/>
    <w:rPr>
      <w:rFonts w:ascii="Tahoma" w:hAnsi="Tahoma"/>
      <w:sz w:val="16"/>
    </w:rPr>
  </w:style>
  <w:style w:styleId="Style_28" w:type="paragraph">
    <w:name w:val="heading 5"/>
    <w:next w:val="Style_5"/>
    <w:link w:val="Style_2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8_ch" w:type="character">
    <w:name w:val="heading 5"/>
    <w:link w:val="Style_28"/>
    <w:rPr>
      <w:rFonts w:ascii="XO Thames" w:hAnsi="XO Thames"/>
      <w:b w:val="1"/>
      <w:sz w:val="22"/>
    </w:rPr>
  </w:style>
  <w:style w:styleId="Style_29" w:type="paragraph">
    <w:name w:val="ConsNormal"/>
    <w:link w:val="Style_29_ch"/>
    <w:pPr>
      <w:ind w:firstLine="720" w:left="0" w:right="19772"/>
    </w:pPr>
    <w:rPr>
      <w:rFonts w:ascii="Arial" w:hAnsi="Arial"/>
      <w:sz w:val="24"/>
    </w:rPr>
  </w:style>
  <w:style w:styleId="Style_29_ch" w:type="character">
    <w:name w:val="ConsNormal"/>
    <w:link w:val="Style_29"/>
    <w:rPr>
      <w:rFonts w:ascii="Arial" w:hAnsi="Arial"/>
      <w:sz w:val="24"/>
    </w:rPr>
  </w:style>
  <w:style w:styleId="Style_30" w:type="paragraph">
    <w:name w:val="Body Text Indent 2"/>
    <w:basedOn w:val="Style_5"/>
    <w:link w:val="Style_30_ch"/>
    <w:pPr>
      <w:spacing w:after="120" w:line="480" w:lineRule="auto"/>
      <w:ind w:firstLine="0" w:left="283"/>
    </w:pPr>
  </w:style>
  <w:style w:styleId="Style_30_ch" w:type="character">
    <w:name w:val="Body Text Indent 2"/>
    <w:basedOn w:val="Style_5_ch"/>
    <w:link w:val="Style_30"/>
  </w:style>
  <w:style w:styleId="Style_31" w:type="paragraph">
    <w:name w:val="Normal (Web)"/>
    <w:basedOn w:val="Style_5"/>
    <w:link w:val="Style_31_ch"/>
    <w:pPr>
      <w:keepLines w:val="0"/>
      <w:spacing w:afterAutospacing="on" w:beforeAutospacing="on"/>
      <w:ind/>
      <w:jc w:val="left"/>
    </w:pPr>
    <w:rPr>
      <w:rFonts w:ascii="Times New Roman" w:hAnsi="Times New Roman"/>
    </w:rPr>
  </w:style>
  <w:style w:styleId="Style_31_ch" w:type="character">
    <w:name w:val="Normal (Web)"/>
    <w:basedOn w:val="Style_5_ch"/>
    <w:link w:val="Style_31"/>
    <w:rPr>
      <w:rFonts w:ascii="Times New Roman" w:hAnsi="Times New Roman"/>
    </w:rPr>
  </w:style>
  <w:style w:styleId="Style_32" w:type="paragraph">
    <w:name w:val="heading 1"/>
    <w:basedOn w:val="Style_5"/>
    <w:next w:val="Style_5"/>
    <w:link w:val="Style_32_ch"/>
    <w:uiPriority w:val="9"/>
    <w:qFormat/>
    <w:pPr>
      <w:keepNext w:val="1"/>
      <w:numPr>
        <w:numId w:val="5"/>
      </w:numPr>
      <w:ind/>
      <w:jc w:val="left"/>
      <w:outlineLvl w:val="0"/>
    </w:pPr>
    <w:rPr>
      <w:rFonts w:ascii="Times New Roman" w:hAnsi="Times New Roman"/>
      <w:b w:val="1"/>
      <w:sz w:val="28"/>
    </w:rPr>
  </w:style>
  <w:style w:styleId="Style_32_ch" w:type="character">
    <w:name w:val="heading 1"/>
    <w:basedOn w:val="Style_5_ch"/>
    <w:link w:val="Style_32"/>
    <w:rPr>
      <w:rFonts w:ascii="Times New Roman" w:hAnsi="Times New Roman"/>
      <w:b w:val="1"/>
      <w:sz w:val="28"/>
    </w:rPr>
  </w:style>
  <w:style w:styleId="Style_33" w:type="paragraph">
    <w:name w:val="annotation subject"/>
    <w:basedOn w:val="Style_26"/>
    <w:next w:val="Style_26"/>
    <w:link w:val="Style_33_ch"/>
    <w:pPr>
      <w:keepLines w:val="0"/>
      <w:spacing w:after="200"/>
      <w:ind/>
      <w:jc w:val="left"/>
    </w:pPr>
    <w:rPr>
      <w:b w:val="1"/>
    </w:rPr>
  </w:style>
  <w:style w:styleId="Style_33_ch" w:type="character">
    <w:name w:val="annotation subject"/>
    <w:basedOn w:val="Style_26_ch"/>
    <w:link w:val="Style_33"/>
    <w:rPr>
      <w:b w:val="1"/>
    </w:rPr>
  </w:style>
  <w:style w:styleId="Style_34" w:type="paragraph">
    <w:name w:val="Пункт-6"/>
    <w:basedOn w:val="Style_5"/>
    <w:link w:val="Style_34_ch"/>
    <w:pPr>
      <w:keepLines w:val="0"/>
      <w:numPr>
        <w:ilvl w:val="5"/>
        <w:numId w:val="5"/>
      </w:numPr>
      <w:tabs>
        <w:tab w:leader="none" w:pos="1985" w:val="left"/>
      </w:tabs>
      <w:ind w:firstLine="709" w:left="0"/>
    </w:pPr>
    <w:rPr>
      <w:rFonts w:ascii="Times New Roman" w:hAnsi="Times New Roman"/>
      <w:sz w:val="28"/>
    </w:rPr>
  </w:style>
  <w:style w:styleId="Style_34_ch" w:type="character">
    <w:name w:val="Пункт-6"/>
    <w:basedOn w:val="Style_5_ch"/>
    <w:link w:val="Style_34"/>
    <w:rPr>
      <w:rFonts w:ascii="Times New Roman" w:hAnsi="Times New Roman"/>
      <w:sz w:val="28"/>
    </w:rPr>
  </w:style>
  <w:style w:styleId="Style_35" w:type="paragraph">
    <w:name w:val="Hyperlink"/>
    <w:link w:val="Style_35_ch"/>
    <w:rPr>
      <w:strike w:val="0"/>
      <w:color w:val="0063A4"/>
      <w:u w:val="none"/>
    </w:rPr>
  </w:style>
  <w:style w:styleId="Style_35_ch" w:type="character">
    <w:name w:val="Hyperlink"/>
    <w:link w:val="Style_35"/>
    <w:rPr>
      <w:strike w:val="0"/>
      <w:color w:val="0063A4"/>
      <w:u w:val="none"/>
    </w:rPr>
  </w:style>
  <w:style w:styleId="Style_36" w:type="paragraph">
    <w:name w:val="Footnote"/>
    <w:link w:val="Style_36_ch"/>
    <w:pPr>
      <w:ind w:firstLine="851" w:left="0"/>
      <w:jc w:val="both"/>
    </w:pPr>
    <w:rPr>
      <w:rFonts w:ascii="XO Thames" w:hAnsi="XO Thames"/>
      <w:sz w:val="22"/>
    </w:rPr>
  </w:style>
  <w:style w:styleId="Style_36_ch" w:type="character">
    <w:name w:val="Footnote"/>
    <w:link w:val="Style_36"/>
    <w:rPr>
      <w:rFonts w:ascii="XO Thames" w:hAnsi="XO Thames"/>
      <w:sz w:val="22"/>
    </w:rPr>
  </w:style>
  <w:style w:styleId="Style_37" w:type="paragraph">
    <w:name w:val="footer"/>
    <w:basedOn w:val="Style_5"/>
    <w:link w:val="Style_37_ch"/>
    <w:pPr>
      <w:tabs>
        <w:tab w:leader="none" w:pos="4677" w:val="center"/>
        <w:tab w:leader="none" w:pos="9355" w:val="right"/>
      </w:tabs>
      <w:ind/>
    </w:pPr>
  </w:style>
  <w:style w:styleId="Style_37_ch" w:type="character">
    <w:name w:val="footer"/>
    <w:basedOn w:val="Style_5_ch"/>
    <w:link w:val="Style_37"/>
  </w:style>
  <w:style w:styleId="Style_38" w:type="paragraph">
    <w:name w:val="toc 1"/>
    <w:next w:val="Style_5"/>
    <w:link w:val="Style_3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8_ch" w:type="character">
    <w:name w:val="toc 1"/>
    <w:link w:val="Style_38"/>
    <w:rPr>
      <w:rFonts w:ascii="XO Thames" w:hAnsi="XO Thames"/>
      <w:b w:val="1"/>
      <w:sz w:val="28"/>
    </w:rPr>
  </w:style>
  <w:style w:styleId="Style_39" w:type="paragraph">
    <w:name w:val="List"/>
    <w:basedOn w:val="Style_18"/>
    <w:link w:val="Style_39_ch"/>
    <w:rPr>
      <w:rFonts w:ascii="PT Astra Serif" w:hAnsi="PT Astra Serif"/>
    </w:rPr>
  </w:style>
  <w:style w:styleId="Style_39_ch" w:type="character">
    <w:name w:val="List"/>
    <w:basedOn w:val="Style_18_ch"/>
    <w:link w:val="Style_39"/>
    <w:rPr>
      <w:rFonts w:ascii="PT Astra Serif" w:hAnsi="PT Astra Serif"/>
    </w:rPr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0"/>
    </w:rPr>
  </w:style>
  <w:style w:styleId="Style_40_ch" w:type="character">
    <w:name w:val="Header and Footer"/>
    <w:link w:val="Style_40"/>
    <w:rPr>
      <w:rFonts w:ascii="XO Thames" w:hAnsi="XO Thames"/>
      <w:sz w:val="20"/>
    </w:rPr>
  </w:style>
  <w:style w:styleId="Style_41" w:type="paragraph">
    <w:name w:val="header"/>
    <w:basedOn w:val="Style_5"/>
    <w:link w:val="Style_41_ch"/>
    <w:pPr>
      <w:tabs>
        <w:tab w:leader="none" w:pos="4677" w:val="center"/>
        <w:tab w:leader="none" w:pos="9355" w:val="right"/>
      </w:tabs>
      <w:ind/>
    </w:pPr>
  </w:style>
  <w:style w:styleId="Style_41_ch" w:type="character">
    <w:name w:val="header"/>
    <w:basedOn w:val="Style_5_ch"/>
    <w:link w:val="Style_41"/>
  </w:style>
  <w:style w:styleId="Style_42" w:type="paragraph">
    <w:name w:val="Default Paragraph Font"/>
    <w:link w:val="Style_42_ch"/>
  </w:style>
  <w:style w:styleId="Style_42_ch" w:type="character">
    <w:name w:val="Default Paragraph Font"/>
    <w:link w:val="Style_42"/>
  </w:style>
  <w:style w:styleId="Style_43" w:type="paragraph">
    <w:name w:val="toc 9"/>
    <w:next w:val="Style_5"/>
    <w:link w:val="Style_4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43_ch" w:type="character">
    <w:name w:val="toc 9"/>
    <w:link w:val="Style_43"/>
    <w:rPr>
      <w:rFonts w:ascii="XO Thames" w:hAnsi="XO Thames"/>
      <w:sz w:val="28"/>
    </w:rPr>
  </w:style>
  <w:style w:styleId="Style_44" w:type="paragraph">
    <w:name w:val="toc 8"/>
    <w:next w:val="Style_5"/>
    <w:link w:val="Style_4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4_ch" w:type="character">
    <w:name w:val="toc 8"/>
    <w:link w:val="Style_44"/>
    <w:rPr>
      <w:rFonts w:ascii="XO Thames" w:hAnsi="XO Thames"/>
      <w:sz w:val="28"/>
    </w:rPr>
  </w:style>
  <w:style w:styleId="Style_45" w:type="paragraph">
    <w:name w:val="caption"/>
    <w:basedOn w:val="Style_5"/>
    <w:link w:val="Style_45_ch"/>
    <w:pPr>
      <w:spacing w:after="120" w:before="120"/>
      <w:ind/>
    </w:pPr>
    <w:rPr>
      <w:rFonts w:ascii="PT Astra Serif" w:hAnsi="PT Astra Serif"/>
      <w:i w:val="1"/>
    </w:rPr>
  </w:style>
  <w:style w:styleId="Style_45_ch" w:type="character">
    <w:name w:val="caption"/>
    <w:basedOn w:val="Style_5_ch"/>
    <w:link w:val="Style_45"/>
    <w:rPr>
      <w:rFonts w:ascii="PT Astra Serif" w:hAnsi="PT Astra Serif"/>
      <w:i w:val="1"/>
    </w:rPr>
  </w:style>
  <w:style w:styleId="Style_46" w:type="paragraph">
    <w:name w:val="toc 5"/>
    <w:next w:val="Style_5"/>
    <w:link w:val="Style_4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6_ch" w:type="character">
    <w:name w:val="toc 5"/>
    <w:link w:val="Style_46"/>
    <w:rPr>
      <w:rFonts w:ascii="XO Thames" w:hAnsi="XO Thames"/>
      <w:sz w:val="28"/>
    </w:rPr>
  </w:style>
  <w:style w:styleId="Style_3" w:type="paragraph">
    <w:name w:val="Стиль3"/>
    <w:basedOn w:val="Style_30"/>
    <w:link w:val="Style_3_ch"/>
    <w:pPr>
      <w:keepLines w:val="0"/>
      <w:widowControl w:val="0"/>
      <w:tabs>
        <w:tab w:leader="none" w:pos="1307" w:val="left"/>
      </w:tabs>
      <w:spacing w:after="0" w:line="240" w:lineRule="auto"/>
      <w:ind w:firstLine="0" w:left="1080"/>
    </w:pPr>
    <w:rPr>
      <w:rFonts w:ascii="Times New Roman" w:hAnsi="Times New Roman"/>
    </w:rPr>
  </w:style>
  <w:style w:styleId="Style_3_ch" w:type="character">
    <w:name w:val="Стиль3"/>
    <w:basedOn w:val="Style_30_ch"/>
    <w:link w:val="Style_3"/>
    <w:rPr>
      <w:rFonts w:ascii="Times New Roman" w:hAnsi="Times New Roman"/>
    </w:rPr>
  </w:style>
  <w:style w:styleId="Style_47" w:type="paragraph">
    <w:name w:val="Пункт-4"/>
    <w:basedOn w:val="Style_5"/>
    <w:link w:val="Style_47_ch"/>
    <w:pPr>
      <w:keepLines w:val="0"/>
      <w:numPr>
        <w:ilvl w:val="3"/>
        <w:numId w:val="5"/>
      </w:numPr>
      <w:ind/>
    </w:pPr>
    <w:rPr>
      <w:rFonts w:ascii="Times New Roman" w:hAnsi="Times New Roman"/>
      <w:sz w:val="28"/>
    </w:rPr>
  </w:style>
  <w:style w:styleId="Style_47_ch" w:type="character">
    <w:name w:val="Пункт-4"/>
    <w:basedOn w:val="Style_5_ch"/>
    <w:link w:val="Style_47"/>
    <w:rPr>
      <w:rFonts w:ascii="Times New Roman" w:hAnsi="Times New Roman"/>
      <w:sz w:val="28"/>
    </w:rPr>
  </w:style>
  <w:style w:styleId="Style_48" w:type="paragraph">
    <w:name w:val="Subtitle"/>
    <w:next w:val="Style_5"/>
    <w:link w:val="Style_4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8_ch" w:type="character">
    <w:name w:val="Subtitle"/>
    <w:link w:val="Style_48"/>
    <w:rPr>
      <w:rFonts w:ascii="XO Thames" w:hAnsi="XO Thames"/>
      <w:i w:val="1"/>
      <w:sz w:val="24"/>
    </w:rPr>
  </w:style>
  <w:style w:styleId="Style_49" w:type="paragraph">
    <w:name w:val="Title"/>
    <w:basedOn w:val="Style_5"/>
    <w:next w:val="Style_18"/>
    <w:link w:val="Style_49_ch"/>
    <w:uiPriority w:val="10"/>
    <w:qFormat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49_ch" w:type="character">
    <w:name w:val="Title"/>
    <w:basedOn w:val="Style_5_ch"/>
    <w:link w:val="Style_49"/>
    <w:rPr>
      <w:rFonts w:ascii="PT Astra Serif" w:hAnsi="PT Astra Serif"/>
      <w:sz w:val="28"/>
    </w:rPr>
  </w:style>
  <w:style w:styleId="Style_50" w:type="paragraph">
    <w:name w:val="Пункт-5"/>
    <w:basedOn w:val="Style_5"/>
    <w:link w:val="Style_50_ch"/>
    <w:pPr>
      <w:keepLines w:val="0"/>
      <w:numPr>
        <w:ilvl w:val="4"/>
        <w:numId w:val="5"/>
      </w:numPr>
      <w:ind/>
    </w:pPr>
    <w:rPr>
      <w:rFonts w:ascii="Times New Roman" w:hAnsi="Times New Roman"/>
      <w:sz w:val="28"/>
    </w:rPr>
  </w:style>
  <w:style w:styleId="Style_50_ch" w:type="character">
    <w:name w:val="Пункт-5"/>
    <w:basedOn w:val="Style_5_ch"/>
    <w:link w:val="Style_50"/>
    <w:rPr>
      <w:rFonts w:ascii="Times New Roman" w:hAnsi="Times New Roman"/>
      <w:sz w:val="28"/>
    </w:rPr>
  </w:style>
  <w:style w:styleId="Style_51" w:type="paragraph">
    <w:name w:val="heading 4"/>
    <w:next w:val="Style_5"/>
    <w:link w:val="Style_5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51_ch" w:type="character">
    <w:name w:val="heading 4"/>
    <w:link w:val="Style_51"/>
    <w:rPr>
      <w:rFonts w:ascii="XO Thames" w:hAnsi="XO Thames"/>
      <w:b w:val="1"/>
      <w:sz w:val="24"/>
    </w:rPr>
  </w:style>
  <w:style w:styleId="Style_52" w:type="paragraph">
    <w:name w:val="heading 2"/>
    <w:basedOn w:val="Style_5"/>
    <w:next w:val="Style_21"/>
    <w:link w:val="Style_52_ch"/>
    <w:uiPriority w:val="9"/>
    <w:qFormat/>
    <w:pPr>
      <w:keepNext w:val="1"/>
      <w:keepLines w:val="0"/>
      <w:numPr>
        <w:ilvl w:val="1"/>
        <w:numId w:val="5"/>
      </w:numPr>
      <w:ind/>
      <w:jc w:val="left"/>
      <w:outlineLvl w:val="1"/>
    </w:pPr>
    <w:rPr>
      <w:rFonts w:ascii="Times New Roman" w:hAnsi="Times New Roman"/>
      <w:b w:val="1"/>
      <w:sz w:val="28"/>
    </w:rPr>
  </w:style>
  <w:style w:styleId="Style_52_ch" w:type="character">
    <w:name w:val="heading 2"/>
    <w:basedOn w:val="Style_5_ch"/>
    <w:link w:val="Style_52"/>
    <w:rPr>
      <w:rFonts w:ascii="Times New Roman" w:hAnsi="Times New Roman"/>
      <w:b w:val="1"/>
      <w:sz w:val="28"/>
    </w:rPr>
  </w:style>
  <w:style w:styleId="Style_53" w:type="table">
    <w:name w:val="style11427"/>
    <w:pPr>
      <w:spacing w:after="200" w:line="276" w:lineRule="auto"/>
      <w:ind/>
    </w:pPr>
    <w:rPr>
      <w:sz w:val="24"/>
    </w:rPr>
    <w:tblPr>
      <w:tblBorders>
        <w:top w:color="000000" w:sz="1" w:val="single"/>
        <w:left w:color="000000" w:sz="1" w:val="single"/>
        <w:bottom w:color="000000" w:sz="1" w:val="single"/>
        <w:right w:color="000000" w:sz="1" w:val="single"/>
        <w:insideH w:color="000000" w:sz="1" w:val="single"/>
        <w:insideV w:color="000000" w:sz="1" w:val="single"/>
      </w:tblBorders>
      <w:tblCellMar>
        <w:top w:type="dxa" w:w="0"/>
        <w:left w:type="dxa" w:w="0"/>
        <w:bottom w:type="dxa" w:w="0"/>
        <w:right w:type="dxa" w:w="0"/>
      </w:tblCellMar>
    </w:tblPr>
  </w:style>
  <w:style w:styleId="Style_54" w:type="table">
    <w:name w:val="Table Grid"/>
    <w:basedOn w:val="Style_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" w:type="table">
    <w:name w:val="Сетка таблицы1"/>
    <w:basedOn w:val="Style_4"/>
    <w:rPr>
      <w:sz w:val="24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numbering.xml" Type="http://schemas.openxmlformats.org/officeDocument/2006/relationships/numbering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media/1.png" Type="http://schemas.openxmlformats.org/officeDocument/2006/relationships/imag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2025-06-24T01:35:38Z</dcterms:modified>
</cp:coreProperties>
</file>