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drawing>
          <wp:inline>
            <wp:extent cx="1114425" cy="50482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1114425" cy="5048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ФЕДЕРАЛЬНОЕ ГОСУДАРСТВЕННОЕ УНИТАРНОЕ ПРЕДПРИЯТИЕ</w:t>
      </w:r>
    </w:p>
    <w:p w14:paraId="06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«ГОРНО-ХИМИЧЕСКИЙ КОМБИНАТ»</w:t>
      </w:r>
    </w:p>
    <w:p w14:paraId="07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(ФГУП  «ГХК»)</w:t>
      </w:r>
    </w:p>
    <w:p w14:paraId="08000000">
      <w:pPr>
        <w:widowControl w:val="0"/>
        <w:spacing w:before="120"/>
        <w:ind/>
        <w:jc w:val="center"/>
        <w:outlineLvl w:val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ПРОТОКОЛ № </w:t>
      </w:r>
      <w:r>
        <w:rPr>
          <w:rFonts w:ascii="Times New Roman" w:hAnsi="Times New Roman"/>
          <w:b w:val="1"/>
        </w:rPr>
        <w:t>32514933225</w:t>
      </w:r>
      <w:r>
        <w:rPr>
          <w:rFonts w:ascii="Times New Roman" w:hAnsi="Times New Roman"/>
          <w:b w:val="1"/>
        </w:rPr>
        <w:t>/2</w:t>
      </w:r>
    </w:p>
    <w:p w14:paraId="09000000">
      <w:pPr>
        <w:widowControl w:val="0"/>
        <w:ind/>
        <w:jc w:val="center"/>
        <w:outlineLvl w:val="0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 xml:space="preserve">заседания закупочной комиссии по рассмотрению вторых частей заявок на участие в открытом запросе предложений в электронной форме без предварительного квалификационного отбора на право заключения договора на </w:t>
      </w:r>
      <w:r>
        <w:rPr>
          <w:rFonts w:ascii="Times New Roman" w:hAnsi="Times New Roman"/>
          <w:b w:val="1"/>
          <w:sz w:val="22"/>
        </w:rPr>
        <w:t>оказание услуг по стирке, дезинфекции камерной, химической чистке белья и прочих изделий для ООО "С/п Юбилейный ГХК"</w:t>
      </w:r>
    </w:p>
    <w:p w14:paraId="0A000000">
      <w:pPr>
        <w:widowControl w:val="0"/>
        <w:ind/>
        <w:jc w:val="center"/>
        <w:outlineLvl w:val="0"/>
        <w:rPr>
          <w:rFonts w:ascii="Times New Roman" w:hAnsi="Times New Roman"/>
        </w:rPr>
      </w:pPr>
    </w:p>
    <w:p w14:paraId="0B000000">
      <w:pPr>
        <w:keepLines w:val="0"/>
        <w:widowControl w:val="0"/>
        <w:tabs>
          <w:tab w:leader="none" w:pos="252" w:val="left"/>
        </w:tabs>
        <w:ind/>
        <w:rPr>
          <w:rFonts w:ascii="Times New Roman" w:hAnsi="Times New Roman"/>
          <w:b w:val="1"/>
        </w:rPr>
      </w:pPr>
      <w:r>
        <w:rPr>
          <w:rFonts w:ascii="Times New Roman" w:hAnsi="Times New Roman"/>
        </w:rPr>
        <w:t>г. Железногорск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дата подписания протокола « ___ »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2025 г.</w:t>
      </w:r>
    </w:p>
    <w:p w14:paraId="0C000000">
      <w:pPr>
        <w:keepLines w:val="0"/>
        <w:widowControl w:val="0"/>
        <w:tabs>
          <w:tab w:leader="none" w:pos="709" w:val="left"/>
        </w:tabs>
        <w:ind/>
        <w:rPr>
          <w:rFonts w:ascii="Times New Roman" w:hAnsi="Times New Roman"/>
        </w:rPr>
      </w:pPr>
    </w:p>
    <w:p w14:paraId="0D000000">
      <w:pPr>
        <w:pStyle w:val="Style_1"/>
        <w:spacing w:after="0" w:line="240" w:lineRule="auto"/>
        <w:ind/>
        <w:rPr>
          <w:b w:val="1"/>
        </w:rPr>
      </w:pPr>
      <w:r>
        <w:rPr>
          <w:b w:val="1"/>
        </w:rPr>
        <w:t>Информация о закупке:</w:t>
      </w:r>
    </w:p>
    <w:p w14:paraId="0E000000">
      <w:pPr>
        <w:pStyle w:val="Style_1"/>
        <w:ind/>
        <w:jc w:val="both"/>
      </w:pPr>
      <w:r>
        <w:rPr>
          <w:b w:val="1"/>
        </w:rPr>
        <w:t xml:space="preserve">Заказчик закупки: </w:t>
      </w:r>
      <w:r>
        <w:rPr>
          <w:sz w:val="23"/>
        </w:rPr>
        <w:t>Общество с ограниченной ответственностью «Санаторий-профилакторий Юбилейный Горно-химического комбината» (ООО « С/п Юбилейный ГХК»),  662970, РФ, Красноярский край, ЗАТО Железногорск, г. Железногорск, ул. Восточная, д. 2;</w:t>
      </w:r>
    </w:p>
    <w:p w14:paraId="0F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Организатор закупки: </w:t>
      </w:r>
      <w:r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 w14:paraId="10000000">
      <w:pPr>
        <w:pStyle w:val="Style_1"/>
        <w:spacing w:after="0" w:line="240" w:lineRule="auto"/>
        <w:ind/>
        <w:jc w:val="both"/>
      </w:pPr>
      <w:r>
        <w:rPr>
          <w:b w:val="1"/>
          <w:color w:val="000000"/>
        </w:rPr>
        <w:t>Способ</w:t>
      </w:r>
      <w:r>
        <w:rPr>
          <w:b w:val="1"/>
        </w:rPr>
        <w:t xml:space="preserve"> </w:t>
      </w:r>
      <w:r>
        <w:rPr>
          <w:b w:val="1"/>
          <w:color w:val="000000"/>
        </w:rPr>
        <w:t>закупки</w:t>
      </w:r>
      <w:r>
        <w:rPr>
          <w:b w:val="1"/>
        </w:rPr>
        <w:t>:</w:t>
      </w:r>
      <w:r>
        <w:t xml:space="preserve"> </w:t>
      </w:r>
      <w:r>
        <w:rPr>
          <w:color w:val="000000"/>
        </w:rPr>
        <w:t>открытый запрос предложений в электронной форме, участниками которого могут быть только субъекты малого и среднего предпринимательства.</w:t>
      </w:r>
    </w:p>
    <w:p w14:paraId="11000000">
      <w:pPr>
        <w:pStyle w:val="Style_1"/>
        <w:spacing w:after="0" w:line="240" w:lineRule="auto"/>
        <w:ind/>
        <w:jc w:val="both"/>
        <w:rPr>
          <w:spacing w:val="-6"/>
        </w:rPr>
      </w:pPr>
      <w:r>
        <w:rPr>
          <w:b w:val="1"/>
        </w:rPr>
        <w:t xml:space="preserve">Предмет договора: </w:t>
      </w:r>
      <w:r>
        <w:rPr>
          <w:color w:val="000000"/>
        </w:rPr>
        <w:t>оказание услуг по стирке, дезинфекции камерной, химической чистке белья и прочих изделий для ООО "С/п Юбилейный ГХК".</w:t>
      </w:r>
    </w:p>
    <w:p w14:paraId="12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Состав и объем </w:t>
      </w:r>
      <w:r>
        <w:rPr>
          <w:b w:val="1"/>
          <w:i w:val="1"/>
        </w:rPr>
        <w:t>товара/работ/услуг</w:t>
      </w:r>
      <w:r>
        <w:rPr>
          <w:b w:val="1"/>
        </w:rPr>
        <w:t xml:space="preserve">: </w:t>
      </w:r>
      <w:r>
        <w:t>В соответствии с томом 2 «Техническая часть» документации по проведению закупки.</w:t>
      </w:r>
    </w:p>
    <w:p w14:paraId="13000000">
      <w:pPr>
        <w:pStyle w:val="Style_1"/>
        <w:spacing w:after="0" w:line="240" w:lineRule="auto"/>
        <w:ind/>
        <w:jc w:val="both"/>
      </w:pPr>
      <w:r>
        <w:rPr>
          <w:b w:val="1"/>
        </w:rPr>
        <w:t xml:space="preserve">Срок </w:t>
      </w:r>
      <w:r>
        <w:rPr>
          <w:b w:val="1"/>
          <w:i w:val="1"/>
        </w:rPr>
        <w:t>поставки товара, выполнения работ или оказания услуг</w:t>
      </w:r>
      <w:r>
        <w:rPr>
          <w:b w:val="1"/>
        </w:rPr>
        <w:t xml:space="preserve">: </w:t>
      </w:r>
      <w:r>
        <w:t>В соответствии с томом 2 «Техническая часть» документации по проведению закупки.</w:t>
      </w:r>
    </w:p>
    <w:p w14:paraId="14000000">
      <w:pPr>
        <w:tabs>
          <w:tab w:leader="none" w:pos="0" w:val="left"/>
        </w:tabs>
        <w:spacing w:before="113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Начальная (максимальная) цена договора: </w:t>
      </w:r>
    </w:p>
    <w:p w14:paraId="15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1 299 000,00 </w:t>
      </w:r>
      <w:r>
        <w:rPr>
          <w:rFonts w:ascii="Times New Roman" w:hAnsi="Times New Roman"/>
        </w:rPr>
        <w:t>(один миллион двести девяносто девять тысяч)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  <w:b w:val="1"/>
        </w:rPr>
        <w:t xml:space="preserve"> 00 копеек,</w:t>
      </w:r>
      <w:r>
        <w:rPr>
          <w:rFonts w:ascii="Times New Roman" w:hAnsi="Times New Roman"/>
        </w:rPr>
        <w:t xml:space="preserve"> с учетом НДС.</w:t>
      </w:r>
    </w:p>
    <w:p w14:paraId="16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Предельная стоимость закупки составляет: </w:t>
      </w:r>
    </w:p>
    <w:p w14:paraId="17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1 299 000,00 </w:t>
      </w:r>
      <w:r>
        <w:rPr>
          <w:rFonts w:ascii="Times New Roman" w:hAnsi="Times New Roman"/>
        </w:rPr>
        <w:t>(один миллион двести девяносто девять тысяч)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  <w:b w:val="1"/>
        </w:rPr>
        <w:t xml:space="preserve"> 00 копеек,</w:t>
      </w:r>
      <w:r>
        <w:rPr>
          <w:rFonts w:ascii="Times New Roman" w:hAnsi="Times New Roman"/>
        </w:rPr>
        <w:t xml:space="preserve"> с учетом НДС.</w:t>
      </w:r>
    </w:p>
    <w:p w14:paraId="18000000">
      <w:pPr>
        <w:keepLines w:val="0"/>
        <w:tabs>
          <w:tab w:leader="none" w:pos="0" w:val="left"/>
        </w:tabs>
        <w:ind/>
        <w:contextualSpacing w:val="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i w:val="1"/>
          <w:u w:val="single"/>
        </w:rPr>
        <w:t>Общая цена договора является фиксированной и не подлежит изменению</w:t>
      </w:r>
      <w:r>
        <w:rPr>
          <w:rFonts w:ascii="Times New Roman" w:hAnsi="Times New Roman"/>
          <w:b w:val="1"/>
        </w:rPr>
        <w:t>.</w:t>
      </w:r>
    </w:p>
    <w:p w14:paraId="19000000">
      <w:pPr>
        <w:keepLines w:val="0"/>
        <w:tabs>
          <w:tab w:leader="none" w:pos="709" w:val="left"/>
        </w:tabs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Начальная (максимальная) цена единицы услуги: </w:t>
      </w:r>
    </w:p>
    <w:tbl>
      <w:tblPr>
        <w:tblStyle w:val="Style_2"/>
        <w:tblInd w:type="dxa" w:w="113"/>
        <w:tblLayout w:type="fixed"/>
      </w:tblPr>
      <w:tblGrid>
        <w:gridCol w:w="809"/>
        <w:gridCol w:w="5805"/>
        <w:gridCol w:w="3308"/>
      </w:tblGrid>
      <w:tr>
        <w:tc>
          <w:tcPr>
            <w:tcW w:type="dxa" w:w="809"/>
          </w:tcPr>
          <w:p w14:paraId="1A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№ п/п</w:t>
            </w:r>
          </w:p>
        </w:tc>
        <w:tc>
          <w:tcPr>
            <w:tcW w:type="dxa" w:w="5805"/>
          </w:tcPr>
          <w:p w14:paraId="1B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Наименование услуги</w:t>
            </w:r>
          </w:p>
        </w:tc>
        <w:tc>
          <w:tcPr>
            <w:tcW w:type="dxa" w:w="3308"/>
          </w:tcPr>
          <w:p w14:paraId="1C000000">
            <w:pPr>
              <w:keepLines w:val="0"/>
              <w:widowControl w:val="0"/>
              <w:tabs>
                <w:tab w:leader="none" w:pos="1134" w:val="left"/>
              </w:tabs>
              <w:ind/>
              <w:contextualSpacing w:val="1"/>
              <w:jc w:val="center"/>
              <w:rPr>
                <w:rFonts w:ascii="XO Thames" w:hAnsi="XO Thames"/>
              </w:rPr>
            </w:pPr>
            <w:r>
              <w:rPr>
                <w:rFonts w:ascii="XO Thames" w:hAnsi="XO Thames"/>
                <w:sz w:val="21"/>
              </w:rPr>
              <w:t>Начальная (максимальная) цена единицы услуги, руб. с НДС.</w:t>
            </w:r>
          </w:p>
        </w:tc>
      </w:tr>
      <w:tr>
        <w:tc>
          <w:tcPr>
            <w:tcW w:type="dxa" w:w="809"/>
          </w:tcPr>
          <w:p w14:paraId="1D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</w:tcPr>
          <w:p w14:paraId="1E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белья</w:t>
            </w:r>
          </w:p>
        </w:tc>
        <w:tc>
          <w:tcPr>
            <w:tcW w:type="dxa" w:w="3308"/>
          </w:tcPr>
          <w:p w14:paraId="1F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0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1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штор, портьер, тюля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2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3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4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одеял, покрывал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5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6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7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салфеток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8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9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A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стирке скатертей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B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68,33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C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2D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камерной дезинфекции белья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2E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2F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30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дезинфекции камерной подушек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31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32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33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дезинфекции камерной одеял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34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141,67</w:t>
            </w:r>
          </w:p>
        </w:tc>
      </w:tr>
      <w:tr>
        <w:tc>
          <w:tcPr>
            <w:tcW w:type="dxa" w:w="809"/>
            <w:tcBorders>
              <w:top w:sz="4" w:val="nil"/>
            </w:tcBorders>
          </w:tcPr>
          <w:p w14:paraId="35000000">
            <w:pPr>
              <w:keepLines w:val="0"/>
              <w:widowControl w:val="0"/>
              <w:numPr>
                <w:ilvl w:val="0"/>
                <w:numId w:val="1"/>
              </w:numPr>
              <w:tabs>
                <w:tab w:leader="none" w:pos="1134" w:val="left"/>
              </w:tabs>
              <w:ind/>
              <w:contextualSpacing w:val="1"/>
              <w:jc w:val="left"/>
              <w:rPr>
                <w:rFonts w:ascii="XO Thames" w:hAnsi="XO Thames"/>
              </w:rPr>
            </w:pPr>
          </w:p>
        </w:tc>
        <w:tc>
          <w:tcPr>
            <w:tcW w:type="dxa" w:w="5805"/>
            <w:tcBorders>
              <w:top w:sz="4" w:val="nil"/>
            </w:tcBorders>
          </w:tcPr>
          <w:p w14:paraId="36000000">
            <w:pPr>
              <w:keepLines w:val="0"/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 по химической стирке ковровых изделий</w:t>
            </w:r>
          </w:p>
        </w:tc>
        <w:tc>
          <w:tcPr>
            <w:tcW w:type="dxa" w:w="3308"/>
            <w:tcBorders>
              <w:top w:sz="4" w:val="nil"/>
            </w:tcBorders>
          </w:tcPr>
          <w:p w14:paraId="37000000">
            <w:pPr>
              <w:keepLines w:val="0"/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258,32</w:t>
            </w:r>
          </w:p>
        </w:tc>
      </w:tr>
    </w:tbl>
    <w:p w14:paraId="38000000">
      <w:pPr>
        <w:keepLines w:val="0"/>
        <w:widowControl w:val="0"/>
        <w:tabs>
          <w:tab w:leader="none" w:pos="252" w:val="left"/>
        </w:tabs>
        <w:spacing w:before="120"/>
        <w:ind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«10» июня 2025 года на официальном государственном сайте http://www.zakupki.gov.ru, закупка № </w:t>
      </w:r>
      <w:r>
        <w:rPr>
          <w:rFonts w:ascii="Times New Roman" w:hAnsi="Times New Roman"/>
          <w:b w:val="1"/>
        </w:rPr>
        <w:t>32514933225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http://zakupki.rosatom.ru, закупка № </w:t>
      </w:r>
      <w:r>
        <w:rPr>
          <w:rFonts w:ascii="Times New Roman" w:hAnsi="Times New Roman"/>
          <w:b w:val="1"/>
        </w:rPr>
        <w:t>88293</w:t>
      </w:r>
      <w:r>
        <w:rPr>
          <w:rFonts w:ascii="Times New Roman" w:hAnsi="Times New Roman"/>
        </w:rPr>
        <w:t xml:space="preserve">, на </w:t>
      </w:r>
      <w:r>
        <w:rPr>
          <w:rFonts w:ascii="Times New Roman" w:hAnsi="Times New Roman"/>
        </w:rPr>
        <w:t>сайте ЭТП АО «</w:t>
      </w:r>
      <w:r>
        <w:rPr>
          <w:rFonts w:ascii="Times New Roman" w:hAnsi="Times New Roman"/>
          <w:color w:val="000000"/>
        </w:rPr>
        <w:t>ЭТС НЭП</w:t>
      </w:r>
      <w:r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  <w:b w:val="1"/>
        </w:rPr>
        <w:t>32514933225.</w:t>
      </w:r>
    </w:p>
    <w:p w14:paraId="39000000">
      <w:pPr>
        <w:pStyle w:val="Style_3"/>
        <w:tabs>
          <w:tab w:leader="none" w:pos="1307" w:val="clear"/>
        </w:tabs>
        <w:spacing w:before="120"/>
        <w:ind w:firstLine="0" w:left="0" w:right="-30"/>
      </w:pPr>
      <w:r>
        <w:t xml:space="preserve">Заседание закупочной комиссии проводится в очной форме в 10 </w:t>
      </w:r>
      <w:r>
        <w:t xml:space="preserve"> </w:t>
      </w:r>
      <w:r>
        <w:t>:00</w:t>
      </w:r>
      <w:r>
        <w:t xml:space="preserve"> </w:t>
      </w:r>
      <w:r>
        <w:t xml:space="preserve"> (время московское) « 25 » </w:t>
      </w:r>
      <w:r>
        <w:t>июня</w:t>
      </w:r>
      <w:r>
        <w:t xml:space="preserve"> 2025 года, по адресу: 662972, РФ, ЗАТО Железногорск, г. Железногорск, Красноярского края, ул. Ленина, д.53.</w:t>
      </w:r>
    </w:p>
    <w:p w14:paraId="3A000000">
      <w:pPr>
        <w:widowControl w:val="0"/>
        <w:tabs>
          <w:tab w:leader="none" w:pos="252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Сведения о составе членов закупочной комиссии приведены в разделе «Закупочная комиссия» настоящего протокола.</w:t>
      </w:r>
    </w:p>
    <w:p w14:paraId="3B000000">
      <w:pPr>
        <w:widowControl w:val="0"/>
        <w:tabs>
          <w:tab w:leader="none" w:pos="252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__7_ из 12 членов закупочной комиссии. Кворум имеется.</w:t>
      </w:r>
    </w:p>
    <w:p w14:paraId="3C000000">
      <w:pPr>
        <w:keepLines w:val="0"/>
        <w:widowControl w:val="0"/>
        <w:numPr>
          <w:ilvl w:val="0"/>
          <w:numId w:val="2"/>
        </w:numPr>
        <w:tabs>
          <w:tab w:leader="none" w:pos="284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 срока подачи заявок на участие в закупке на 05:00 (время московское) «20» июня 2025 года на ЭТП АО «</w:t>
      </w:r>
      <w:r>
        <w:rPr>
          <w:rFonts w:ascii="Times New Roman" w:hAnsi="Times New Roman"/>
          <w:color w:val="000000"/>
        </w:rPr>
        <w:t>ЭТС НЭП</w:t>
      </w:r>
      <w:r>
        <w:rPr>
          <w:rFonts w:ascii="Times New Roman" w:hAnsi="Times New Roman"/>
        </w:rPr>
        <w:t>» всего подано: 1 (одна) заявка на участие в закупке.</w:t>
      </w:r>
    </w:p>
    <w:p w14:paraId="3D000000">
      <w:pPr>
        <w:keepNext w:val="1"/>
        <w:widowControl w:val="0"/>
        <w:spacing w:before="120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Результаты открытия доступа к заявкам на участие в закупке:</w:t>
      </w:r>
    </w:p>
    <w:p w14:paraId="3E000000">
      <w:pPr>
        <w:widowControl w:val="0"/>
        <w:ind/>
        <w:rPr>
          <w:rFonts w:ascii="Times New Roman" w:hAnsi="Times New Roman"/>
        </w:rPr>
      </w:pPr>
      <w:r>
        <w:rPr>
          <w:rFonts w:ascii="Times New Roman" w:hAnsi="Times New Roman"/>
        </w:rPr>
        <w:t>Сведения о количестве поданных на участие в открытом запросе предложений заявок:</w:t>
      </w:r>
    </w:p>
    <w:tbl>
      <w:tblPr>
        <w:tblStyle w:val="Style_4"/>
        <w:tblLayout w:type="fixed"/>
        <w:tblCellMar>
          <w:left w:type="dxa" w:w="5"/>
          <w:right w:type="dxa" w:w="7"/>
        </w:tblCellMar>
      </w:tblPr>
      <w:tblGrid>
        <w:gridCol w:w="997"/>
        <w:gridCol w:w="3538"/>
        <w:gridCol w:w="5500"/>
      </w:tblGrid>
      <w:tr>
        <w:tc>
          <w:tcPr>
            <w:tcW w:type="dxa" w:w="997"/>
            <w:tcBorders>
              <w:top w:color="000000" w:sz="4" w:val="single"/>
              <w:left w:color="000000" w:sz="4" w:val="single"/>
              <w:bottom w:color="000000" w:sz="6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3F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Рег. № заявки на ЭТП</w:t>
            </w:r>
          </w:p>
        </w:tc>
        <w:tc>
          <w:tcPr>
            <w:tcW w:type="dxa" w:w="3538"/>
            <w:tcBorders>
              <w:top w:color="000000" w:sz="4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0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открытого запроса предложений</w:t>
            </w:r>
          </w:p>
        </w:tc>
        <w:tc>
          <w:tcPr>
            <w:tcW w:type="dxa" w:w="5500"/>
            <w:tcBorders>
              <w:top w:color="000000" w:sz="4" w:val="single"/>
              <w:left w:color="000000" w:sz="6" w:val="single"/>
              <w:bottom w:color="000000" w:sz="6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1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заявки на участие в открытом запросе предложений</w:t>
            </w:r>
          </w:p>
        </w:tc>
      </w:tr>
      <w:tr>
        <w:tc>
          <w:tcPr>
            <w:tcW w:type="dxa" w:w="997"/>
            <w:tcBorders>
              <w:top w:color="000000" w:sz="6" w:val="single"/>
              <w:left w:color="000000" w:sz="4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2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3538"/>
            <w:tcBorders>
              <w:top w:color="000000" w:sz="6" w:val="single"/>
              <w:left w:color="000000" w:sz="6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3000000">
            <w:pPr>
              <w:widowControl w:val="0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b w:val="1"/>
              </w:rPr>
              <w:t>Участник №1</w:t>
            </w:r>
          </w:p>
        </w:tc>
        <w:tc>
          <w:tcPr>
            <w:tcW w:type="dxa" w:w="5500"/>
            <w:tcBorders>
              <w:top w:color="000000" w:sz="6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4000000">
            <w:pPr>
              <w:widowControl w:val="0"/>
              <w:ind/>
              <w:jc w:val="left"/>
              <w:rPr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Дата и время регистрации заявки: </w:t>
            </w:r>
          </w:p>
          <w:p w14:paraId="45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«18» июня 2025 года 22:16 (время московское)</w:t>
            </w:r>
          </w:p>
        </w:tc>
      </w:tr>
    </w:tbl>
    <w:p w14:paraId="46000000">
      <w:pPr>
        <w:tabs>
          <w:tab w:leader="none" w:pos="426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участника, в соответствии с подпунктом а) пункта 1.1 части 1 статьи 6.4 ЕОСЗ закупка признана несостоявшейся.</w:t>
      </w:r>
    </w:p>
    <w:p w14:paraId="47000000">
      <w:pPr>
        <w:numPr>
          <w:ilvl w:val="0"/>
          <w:numId w:val="3"/>
        </w:numPr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от </w:t>
      </w:r>
      <w:r>
        <w:rPr>
          <w:rFonts w:ascii="Times New Roman" w:hAnsi="Times New Roman"/>
        </w:rPr>
        <w:t>23</w:t>
      </w:r>
      <w:r>
        <w:rPr>
          <w:rFonts w:ascii="Times New Roman" w:hAnsi="Times New Roman"/>
        </w:rPr>
        <w:t>.0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.20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32514933225</w:t>
      </w:r>
      <w:r>
        <w:rPr>
          <w:rFonts w:ascii="Times New Roman" w:hAnsi="Times New Roman"/>
        </w:rPr>
        <w:t>/1, по результатам</w:t>
      </w:r>
      <w:r>
        <w:rPr>
          <w:rFonts w:ascii="Times New Roman" w:hAnsi="Times New Roman"/>
        </w:rPr>
        <w:t xml:space="preserve"> рассмотрения первых частей заявок на участие в закупке закупочной комиссией были приняты следующие решения:</w:t>
      </w:r>
    </w:p>
    <w:p w14:paraId="48000000">
      <w:pPr>
        <w:widowControl w:val="0"/>
        <w:numPr>
          <w:ilvl w:val="1"/>
          <w:numId w:val="3"/>
        </w:numPr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Допустить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14:paraId="49000000">
      <w:pPr>
        <w:widowControl w:val="0"/>
        <w:tabs>
          <w:tab w:leader="none" w:pos="426" w:val="left"/>
        </w:tabs>
        <w:spacing w:before="120"/>
        <w:ind/>
        <w:rPr>
          <w:b w:val="1"/>
        </w:rPr>
      </w:pPr>
      <w:r>
        <w:rPr>
          <w:rFonts w:ascii="Times New Roman" w:hAnsi="Times New Roman"/>
          <w:b w:val="1"/>
        </w:rPr>
        <w:t>2.1.1.Учас</w:t>
      </w:r>
      <w:r>
        <w:rPr>
          <w:rFonts w:ascii="Times New Roman" w:hAnsi="Times New Roman"/>
          <w:b w:val="1"/>
        </w:rPr>
        <w:t>тник №1</w:t>
      </w:r>
    </w:p>
    <w:p w14:paraId="4A000000">
      <w:pPr>
        <w:keepLines w:val="0"/>
        <w:widowControl w:val="0"/>
        <w:numPr>
          <w:ilvl w:val="1"/>
          <w:numId w:val="3"/>
        </w:numPr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Отказать в допуске к дальнейшему участию в закупке следующим участникам закупки, подавшим заявки: –</w:t>
      </w:r>
    </w:p>
    <w:p w14:paraId="4B000000">
      <w:pPr>
        <w:widowControl w:val="0"/>
        <w:spacing w:before="120"/>
        <w:ind/>
        <w:rPr>
          <w:sz w:val="22"/>
        </w:rPr>
      </w:pPr>
      <w:r>
        <w:rPr>
          <w:rFonts w:ascii="Times New Roman" w:hAnsi="Times New Roman"/>
          <w:i w:val="1"/>
          <w:sz w:val="22"/>
        </w:rPr>
        <w:t>Количество заявок на участие в закупке, которые отклонены: 0  заявок на участие в закупке.</w:t>
      </w:r>
    </w:p>
    <w:p w14:paraId="4C000000">
      <w:pPr>
        <w:numPr>
          <w:ilvl w:val="0"/>
          <w:numId w:val="4"/>
        </w:numPr>
        <w:tabs>
          <w:tab w:leader="none" w:pos="567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открытия доступа ко вторым частям  заявок на участие в закупке:</w:t>
      </w:r>
    </w:p>
    <w:p w14:paraId="4D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Сведения об участниках закупки, подавших вторые части заявок на участие в закупке:</w:t>
      </w:r>
    </w:p>
    <w:tbl>
      <w:tblPr>
        <w:tblStyle w:val="Style_4"/>
        <w:tblLayout w:type="fixed"/>
        <w:tblCellMar>
          <w:left w:type="dxa" w:w="5"/>
          <w:right w:type="dxa" w:w="7"/>
        </w:tblCellMar>
      </w:tblPr>
      <w:tblGrid>
        <w:gridCol w:w="5384"/>
        <w:gridCol w:w="4651"/>
      </w:tblGrid>
      <w:tr>
        <w:tc>
          <w:tcPr>
            <w:tcW w:type="dxa" w:w="538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tcMar>
              <w:left w:type="dxa" w:w="5"/>
              <w:right w:type="dxa" w:w="7"/>
            </w:tcMar>
            <w:vAlign w:val="center"/>
          </w:tcPr>
          <w:p w14:paraId="4E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Рег. № заявки на ЭТП</w:t>
            </w:r>
          </w:p>
        </w:tc>
        <w:tc>
          <w:tcPr>
            <w:tcW w:type="dxa" w:w="4651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4F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Дата и время регистрации заявки</w:t>
            </w:r>
          </w:p>
        </w:tc>
      </w:tr>
      <w:tr>
        <w:trPr>
          <w:trHeight w:hRule="atLeast" w:val="433"/>
        </w:trPr>
        <w:tc>
          <w:tcPr>
            <w:tcW w:type="dxa" w:w="53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50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Участник № 1</w:t>
            </w:r>
          </w:p>
          <w:p w14:paraId="51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ООО “СИБСЕРВИСБЫТ”</w:t>
            </w:r>
          </w:p>
          <w:p w14:paraId="52000000">
            <w:pPr>
              <w:widowControl w:val="0"/>
              <w:tabs>
                <w:tab w:leader="none" w:pos="567" w:val="left"/>
              </w:tabs>
              <w:ind w:firstLine="0"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2462026455</w:t>
            </w:r>
          </w:p>
          <w:p w14:paraId="53000000">
            <w:pPr>
              <w:widowControl w:val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660124</w:t>
            </w:r>
            <w:r>
              <w:rPr>
                <w:rFonts w:ascii="Times New Roman" w:hAnsi="Times New Roman"/>
              </w:rPr>
              <w:t>, Россия, Красноярский край, г. </w:t>
            </w:r>
            <w:r>
              <w:rPr>
                <w:rFonts w:ascii="Times New Roman" w:hAnsi="Times New Roman"/>
              </w:rPr>
              <w:t>Красноярск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им.героя</w:t>
            </w:r>
            <w:r>
              <w:rPr>
                <w:rFonts w:ascii="Times New Roman" w:hAnsi="Times New Roman"/>
              </w:rPr>
              <w:t xml:space="preserve"> Советского Союза </w:t>
            </w:r>
            <w:r>
              <w:rPr>
                <w:rFonts w:ascii="Times New Roman" w:hAnsi="Times New Roman"/>
              </w:rPr>
              <w:t>И.А.Борисевича</w:t>
            </w:r>
            <w:r>
              <w:rPr>
                <w:rFonts w:ascii="Times New Roman" w:hAnsi="Times New Roman"/>
              </w:rPr>
              <w:t>, 22</w:t>
            </w:r>
          </w:p>
        </w:tc>
        <w:tc>
          <w:tcPr>
            <w:tcW w:type="dxa" w:w="46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7"/>
            </w:tcMar>
            <w:vAlign w:val="center"/>
          </w:tcPr>
          <w:p w14:paraId="54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 xml:space="preserve">Дата и время </w:t>
            </w:r>
            <w:r>
              <w:rPr>
                <w:rFonts w:ascii="Times New Roman" w:hAnsi="Times New Roman"/>
                <w:b w:val="1"/>
              </w:rPr>
              <w:t xml:space="preserve">поступления </w:t>
            </w:r>
            <w:r>
              <w:rPr>
                <w:rFonts w:ascii="Times New Roman" w:hAnsi="Times New Roman"/>
                <w:b w:val="1"/>
              </w:rPr>
              <w:t>заявки:</w:t>
            </w:r>
          </w:p>
          <w:p w14:paraId="55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июня</w:t>
            </w:r>
            <w:r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года </w:t>
            </w:r>
          </w:p>
          <w:p w14:paraId="56000000">
            <w:pPr>
              <w:widowControl w:val="0"/>
              <w:ind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(время</w:t>
            </w:r>
            <w:r>
              <w:rPr>
                <w:rFonts w:ascii="Times New Roman" w:hAnsi="Times New Roman"/>
              </w:rPr>
              <w:t xml:space="preserve"> московское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14:paraId="57000000">
      <w:pPr>
        <w:widowControl w:val="0"/>
        <w:tabs>
          <w:tab w:leader="none" w:pos="426" w:val="left"/>
        </w:tabs>
        <w:spacing w:after="113" w:before="113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color w:val="000000"/>
        </w:rPr>
        <w:t>4</w:t>
      </w:r>
      <w:r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color w:val="000000"/>
        </w:rPr>
        <w:t>О</w:t>
      </w:r>
      <w:r>
        <w:rPr>
          <w:rFonts w:ascii="Times New Roman" w:hAnsi="Times New Roman"/>
          <w:color w:val="000000"/>
        </w:rPr>
        <w:t>пределение страны происхождения предлагаемого товара/ выполнения работ/ оказания услуг в соответствии с Постановлением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лиц»:</w:t>
      </w:r>
    </w:p>
    <w:tbl>
      <w:tblPr>
        <w:tblStyle w:val="Style_4"/>
        <w:tblLayout w:type="fixed"/>
        <w:tblCellMar>
          <w:left w:type="dxa" w:w="0"/>
          <w:right w:type="dxa" w:w="0"/>
        </w:tblCellMar>
      </w:tblPr>
      <w:tblGrid>
        <w:gridCol w:w="5797"/>
        <w:gridCol w:w="4238"/>
      </w:tblGrid>
      <w:tr>
        <w:tc>
          <w:tcPr>
            <w:tcW w:type="dxa" w:w="5797"/>
            <w:tcBorders>
              <w:top w:color="000000" w:sz="4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8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  <w:sz w:val="20"/>
              </w:rPr>
              <w:t>Наименование участника</w:t>
            </w:r>
          </w:p>
        </w:tc>
        <w:tc>
          <w:tcPr>
            <w:tcW w:type="dxa" w:w="4238"/>
            <w:tcBorders>
              <w:top w:color="000000" w:sz="4" w:val="single"/>
              <w:left w:color="000000" w:sz="6" w:val="single"/>
              <w:bottom w:color="000000" w:sz="6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9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  <w:sz w:val="20"/>
              </w:rPr>
              <w:t>Лица, выполняющие работы, оказывающие услуги</w:t>
            </w:r>
          </w:p>
        </w:tc>
      </w:tr>
      <w:tr>
        <w:tc>
          <w:tcPr>
            <w:tcW w:type="dxa" w:w="5797"/>
            <w:tcBorders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A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ООО “СИБСЕРВИСБЫТ”</w:t>
            </w:r>
            <w:bookmarkStart w:id="1" w:name="_GoBack"/>
            <w:bookmarkEnd w:id="1"/>
          </w:p>
        </w:tc>
        <w:tc>
          <w:tcPr>
            <w:tcW w:type="dxa" w:w="4238"/>
            <w:tcBorders>
              <w:left w:color="000000" w:sz="6" w:val="single"/>
              <w:bottom w:color="000000" w:sz="6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  <w:vAlign w:val="center"/>
          </w:tcPr>
          <w:p w14:paraId="5B000000">
            <w:pPr>
              <w:widowControl w:val="0"/>
              <w:ind/>
              <w:jc w:val="center"/>
            </w:pPr>
            <w:r>
              <w:rPr>
                <w:rFonts w:ascii="Times New Roman" w:hAnsi="Times New Roman"/>
              </w:rPr>
              <w:t>РФ</w:t>
            </w:r>
          </w:p>
        </w:tc>
      </w:tr>
    </w:tbl>
    <w:p w14:paraId="5C000000">
      <w:pPr>
        <w:widowControl w:val="0"/>
        <w:tabs>
          <w:tab w:leader="none" w:pos="426" w:val="left"/>
        </w:tabs>
        <w:spacing w:before="113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5.</w:t>
      </w:r>
      <w:r>
        <w:rPr>
          <w:rFonts w:ascii="Times New Roman" w:hAnsi="Times New Roman"/>
        </w:rPr>
        <w:t xml:space="preserve">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5D000000">
      <w:pPr>
        <w:widowControl w:val="0"/>
        <w:tabs>
          <w:tab w:leader="none" w:pos="426" w:val="left"/>
        </w:tabs>
        <w:spacing w:before="120"/>
        <w:ind w:firstLine="0" w:left="0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5.1. Допустить</w:t>
      </w:r>
      <w:r>
        <w:rPr>
          <w:rFonts w:ascii="Times New Roman" w:hAnsi="Times New Roman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14:paraId="5E000000">
      <w:pPr>
        <w:widowControl w:val="0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5.1.1. </w:t>
      </w:r>
      <w:r>
        <w:rPr>
          <w:rFonts w:ascii="Times New Roman" w:hAnsi="Times New Roman"/>
          <w:b w:val="1"/>
        </w:rPr>
        <w:t>ООО “СИБСЕРВИСБЫТ”</w:t>
      </w:r>
    </w:p>
    <w:p w14:paraId="5F000000">
      <w:pPr>
        <w:widowControl w:val="0"/>
        <w:tabs>
          <w:tab w:leader="none" w:pos="993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60000000">
      <w:pPr>
        <w:widowControl w:val="0"/>
        <w:tabs>
          <w:tab w:leader="none" w:pos="993" w:val="left"/>
        </w:tabs>
        <w:ind/>
        <w:rPr>
          <w:rFonts w:ascii="Times New Roman" w:hAnsi="Times New Roman"/>
        </w:rPr>
      </w:pPr>
      <w:r>
        <w:rPr>
          <w:rFonts w:ascii="Times New Roman" w:hAnsi="Times New Roman"/>
        </w:rPr>
        <w:t>«за» – __7__ голоса/-</w:t>
      </w:r>
      <w:r>
        <w:rPr>
          <w:rFonts w:ascii="Times New Roman" w:hAnsi="Times New Roman"/>
        </w:rPr>
        <w:t>ов</w:t>
      </w:r>
      <w:r>
        <w:rPr>
          <w:rFonts w:ascii="Times New Roman" w:hAnsi="Times New Roman"/>
        </w:rPr>
        <w:t xml:space="preserve">; </w:t>
      </w:r>
    </w:p>
    <w:p w14:paraId="61000000">
      <w:pPr>
        <w:widowControl w:val="0"/>
        <w:tabs>
          <w:tab w:leader="none" w:pos="993" w:val="left"/>
        </w:tabs>
        <w:ind/>
        <w:rPr>
          <w:rFonts w:ascii="Times New Roman" w:hAnsi="Times New Roman"/>
        </w:rPr>
      </w:pPr>
      <w:r>
        <w:rPr>
          <w:rFonts w:ascii="Times New Roman" w:hAnsi="Times New Roman"/>
        </w:rPr>
        <w:t>«против» – __0__ голоса/-</w:t>
      </w:r>
      <w:r>
        <w:rPr>
          <w:rFonts w:ascii="Times New Roman" w:hAnsi="Times New Roman"/>
        </w:rPr>
        <w:t>ов</w:t>
      </w:r>
      <w:r>
        <w:rPr>
          <w:rFonts w:ascii="Times New Roman" w:hAnsi="Times New Roman"/>
        </w:rPr>
        <w:t xml:space="preserve">;  </w:t>
      </w:r>
    </w:p>
    <w:p w14:paraId="62000000">
      <w:pPr>
        <w:widowControl w:val="0"/>
        <w:ind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___0__ голоса/-</w:t>
      </w:r>
      <w:r>
        <w:rPr>
          <w:rFonts w:ascii="Times New Roman" w:hAnsi="Times New Roman"/>
        </w:rPr>
        <w:t>ов</w:t>
      </w:r>
    </w:p>
    <w:p w14:paraId="63000000">
      <w:pPr>
        <w:widowControl w:val="0"/>
        <w:tabs>
          <w:tab w:leader="none" w:pos="567" w:val="left"/>
        </w:tabs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В связи с тем, что по результатам рассмотрения заявок принято решение о допуске только одного участника закупки, в соответствии с подпунктом б) пункта 1.2 части 1 статьи 6.4 ЕОСЗ закупка признана несостоявшейся.</w:t>
      </w:r>
    </w:p>
    <w:p w14:paraId="64000000">
      <w:pPr>
        <w:widowControl w:val="0"/>
        <w:spacing w:before="120"/>
        <w:ind w:hanging="142" w:left="426"/>
        <w:rPr>
          <w:rFonts w:ascii="Times New Roman" w:hAnsi="Times New Roman"/>
          <w:b w:val="1"/>
          <w:sz w:val="20"/>
          <w:u w:val="single"/>
        </w:rPr>
      </w:pPr>
      <w:r>
        <w:br w:type="page"/>
      </w:r>
    </w:p>
    <w:p w14:paraId="65000000">
      <w:pPr>
        <w:widowControl w:val="0"/>
        <w:spacing w:before="120"/>
        <w:ind w:hanging="142" w:left="426"/>
        <w:rPr>
          <w:rFonts w:ascii="Times New Roman" w:hAnsi="Times New Roman"/>
          <w:b w:val="1"/>
          <w:sz w:val="20"/>
          <w:u w:val="single"/>
        </w:rPr>
      </w:pPr>
      <w:r>
        <w:rPr>
          <w:rFonts w:ascii="Times New Roman" w:hAnsi="Times New Roman"/>
          <w:b w:val="1"/>
          <w:sz w:val="20"/>
          <w:u w:val="single"/>
        </w:rPr>
        <w:t xml:space="preserve">Закупочная комиссия: </w:t>
      </w:r>
    </w:p>
    <w:p w14:paraId="66000000">
      <w:pPr>
        <w:ind w:firstLine="0"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67000000">
      <w:pPr>
        <w:numPr>
          <w:ilvl w:val="0"/>
          <w:numId w:val="5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подтверждает объективность принимаемых решений;</w:t>
      </w:r>
    </w:p>
    <w:p w14:paraId="68000000">
      <w:pPr>
        <w:numPr>
          <w:ilvl w:val="0"/>
          <w:numId w:val="5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заявляет об отсутствии личной заинтересованности в исходе закупки;</w:t>
      </w:r>
    </w:p>
    <w:p w14:paraId="69000000">
      <w:pPr>
        <w:numPr>
          <w:ilvl w:val="0"/>
          <w:numId w:val="5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принимает на себя обязательства:</w:t>
      </w:r>
    </w:p>
    <w:p w14:paraId="6A000000">
      <w:pPr>
        <w:numPr>
          <w:ilvl w:val="0"/>
          <w:numId w:val="5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6B000000">
      <w:pPr>
        <w:numPr>
          <w:ilvl w:val="0"/>
          <w:numId w:val="5"/>
        </w:numPr>
        <w:ind w:firstLine="284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6C000000">
      <w:pPr>
        <w:numPr>
          <w:ilvl w:val="0"/>
          <w:numId w:val="5"/>
        </w:numPr>
        <w:ind w:firstLine="284" w:left="0"/>
        <w:rPr>
          <w:sz w:val="20"/>
        </w:rPr>
      </w:pPr>
      <w:r>
        <w:rPr>
          <w:rFonts w:ascii="Times New Roman" w:hAnsi="Times New Roman"/>
          <w:sz w:val="20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Style_4"/>
        <w:tblLayout w:type="fixed"/>
        <w:tblCellMar>
          <w:left w:type="dxa" w:w="5"/>
          <w:right w:type="dxa" w:w="5"/>
        </w:tblCellMar>
      </w:tblPr>
      <w:tblGrid>
        <w:gridCol w:w="2501"/>
        <w:gridCol w:w="5553"/>
        <w:gridCol w:w="1981"/>
      </w:tblGrid>
      <w:t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D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ФИО </w:t>
            </w: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E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Должность 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6F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Подпись </w:t>
            </w: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0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Председатель закупочной комиссии: </w:t>
            </w: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1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</w:t>
            </w:r>
            <w:r>
              <w:rPr>
                <w:rFonts w:ascii="Times New Roman" w:hAnsi="Times New Roman"/>
              </w:rPr>
              <w:t xml:space="preserve">Ю. </w:t>
            </w:r>
            <w:r>
              <w:rPr>
                <w:rFonts w:ascii="Times New Roman" w:hAnsi="Times New Roman"/>
              </w:rPr>
              <w:t>Марков</w:t>
            </w: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2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4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Члены закупочной комиссии: </w:t>
            </w: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6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7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8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A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B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C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7D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7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2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6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7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8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A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B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C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D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8E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8F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0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1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2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3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4000000">
            <w:pPr>
              <w:widowControl w:val="0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5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1003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6000000">
            <w:pPr>
              <w:widowControl w:val="0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Секретарь закупочной комиссии (с </w:t>
            </w:r>
            <w:r>
              <w:rPr>
                <w:rFonts w:ascii="Times New Roman" w:hAnsi="Times New Roman"/>
                <w:b w:val="1"/>
                <w:i w:val="1"/>
              </w:rPr>
              <w:t>правом голоса</w:t>
            </w:r>
            <w:r>
              <w:rPr>
                <w:rFonts w:ascii="Times New Roman" w:hAnsi="Times New Roman"/>
                <w:b w:val="1"/>
              </w:rPr>
              <w:t xml:space="preserve">): </w:t>
            </w:r>
          </w:p>
        </w:tc>
      </w:tr>
      <w:tr>
        <w:trPr>
          <w:trHeight w:hRule="atLeast" w:val="567"/>
        </w:trPr>
        <w:tc>
          <w:tcPr>
            <w:tcW w:type="dxa" w:w="25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7000000">
            <w:pPr>
              <w:widowControl w:val="0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А.Л. Лебедева</w:t>
            </w:r>
          </w:p>
        </w:tc>
        <w:tc>
          <w:tcPr>
            <w:tcW w:type="dxa" w:w="55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  <w:vAlign w:val="center"/>
          </w:tcPr>
          <w:p w14:paraId="98000000">
            <w:pPr>
              <w:widowControl w:val="0"/>
              <w:ind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</w:rPr>
              <w:t>Эксперт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type="dxa" w:w="19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5"/>
              <w:right w:type="dxa" w:w="5"/>
            </w:tcMar>
          </w:tcPr>
          <w:p w14:paraId="99000000">
            <w:pPr>
              <w:widowControl w:val="0"/>
              <w:ind/>
              <w:rPr>
                <w:rFonts w:ascii="Times New Roman" w:hAnsi="Times New Roman"/>
              </w:rPr>
            </w:pPr>
          </w:p>
        </w:tc>
      </w:tr>
    </w:tbl>
    <w:p w14:paraId="9A000000">
      <w:pPr>
        <w:widowControl w:val="0"/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Проверено: Юрисконсульт ОЗ______________________</w:t>
      </w:r>
      <w:r>
        <w:rPr>
          <w:rFonts w:ascii="Times New Roman" w:hAnsi="Times New Roman"/>
        </w:rPr>
        <w:t>Н.</w:t>
      </w:r>
      <w:r>
        <w:rPr>
          <w:rFonts w:ascii="Times New Roman" w:hAnsi="Times New Roman"/>
        </w:rPr>
        <w:t>Н.Ридфинс</w:t>
      </w:r>
    </w:p>
    <w:p w14:paraId="9B000000">
      <w:pPr>
        <w:widowControl w:val="0"/>
        <w:spacing w:before="120"/>
        <w:ind/>
        <w:rPr>
          <w:rFonts w:ascii="Times New Roman" w:hAnsi="Times New Roman"/>
        </w:rPr>
      </w:pPr>
      <w:r>
        <w:rPr>
          <w:rFonts w:ascii="Times New Roman" w:hAnsi="Times New Roman"/>
        </w:rPr>
        <w:t>Исполнитель: Специалист ОЗ ______________________</w:t>
      </w:r>
      <w:r>
        <w:rPr>
          <w:rFonts w:ascii="Times New Roman" w:hAnsi="Times New Roman"/>
        </w:rPr>
        <w:t>Ю.В.Зернова</w:t>
      </w:r>
    </w:p>
    <w:p w14:paraId="9C000000">
      <w:pPr>
        <w:keepLines w:val="0"/>
        <w:widowControl w:val="0"/>
        <w:ind/>
        <w:rPr>
          <w:rFonts w:ascii="Times New Roman" w:hAnsi="Times New Roman"/>
          <w:b w:val="1"/>
        </w:rPr>
      </w:pPr>
    </w:p>
    <w:sectPr>
      <w:footerReference r:id="rId1" w:type="default"/>
      <w:pgSz w:h="16838" w:orient="portrait" w:w="11906"/>
      <w:pgMar w:bottom="524" w:footer="467" w:gutter="0" w:header="0" w:left="1134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32514933225/2</w:t>
    </w:r>
  </w:p>
  <w:p w14:paraId="02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заседания закупочной комиссии по рассмотрению вторых частей заявок на участие в открытом запросе предложений в электронной форме без предварительного квалификационного отбора на право заключения договора на оказание услуг по стирке, дезинфекции камерной, химической чистке белья и прочих изделий для ООО "С/п Юбилейный ГХК"</w:t>
    </w:r>
  </w:p>
  <w:p w14:paraId="03000000">
    <w:pPr>
      <w:widowControl w:val="0"/>
      <w:tabs>
        <w:tab w:leader="none" w:pos="5017" w:val="center"/>
      </w:tabs>
      <w:ind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dirty="1"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dirty="1"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4</w:t>
    </w:r>
    <w:r>
      <w:rPr>
        <w:rFonts w:ascii="Times New Roman" w:hAnsi="Times New Roman"/>
        <w:sz w:val="16"/>
      </w:rPr>
      <w:fldChar w:fldCharType="end"/>
    </w: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080" w:val="left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leader="none" w:pos="1440" w:val="left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leader="none" w:pos="1800" w:val="left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leader="none" w:pos="2160" w:val="left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leader="none" w:pos="2520" w:val="left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leader="none" w:pos="2880" w:val="left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leader="none" w:pos="3240" w:val="left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leader="none" w:pos="3600" w:val="left"/>
        </w:tabs>
        <w:ind w:hanging="360" w:left="3600"/>
      </w:p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0" w:val="left"/>
        </w:tabs>
        <w:ind w:hanging="360" w:left="720"/>
      </w:pPr>
      <w:rPr>
        <w:b w:val="1"/>
      </w:rPr>
    </w:lvl>
    <w:lvl w:ilvl="1">
      <w:start w:val="1"/>
      <w:numFmt w:val="lowerLetter"/>
      <w:lvlText w:val="%2."/>
      <w:lvlJc w:val="left"/>
      <w:pPr>
        <w:tabs>
          <w:tab w:leader="none" w:pos="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0" w:val="left"/>
        </w:tabs>
        <w:ind w:hanging="180" w:left="648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leader="none" w:pos="0" w:val="left"/>
        </w:tabs>
        <w:ind w:hanging="360" w:left="720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hanging="720" w:left="1571"/>
      </w:pPr>
      <w:rPr>
        <w:b w:val="1"/>
      </w:r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hanging="720" w:left="1288"/>
      </w:pPr>
      <w:rPr>
        <w:rFonts w:ascii="Times New Roman" w:hAnsi="Times New Roman"/>
        <w:b w:val="1"/>
      </w:r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hanging="1080" w:left="2913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hanging="1080" w:left="3404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hanging="1440" w:left="4255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hanging="1440" w:left="4746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hanging="1800" w:left="5597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hanging="1800" w:left="6088"/>
      </w:pPr>
    </w:lvl>
  </w:abstractNum>
  <w:abstractNum w:abstractNumId="3">
    <w:lvl w:ilvl="0">
      <w:start w:val="3"/>
      <w:numFmt w:val="decimal"/>
      <w:lvlText w:val="%1."/>
      <w:lvlJc w:val="left"/>
      <w:pPr>
        <w:tabs>
          <w:tab w:leader="none" w:pos="0" w:val="left"/>
        </w:tabs>
        <w:ind w:hanging="360" w:left="720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hanging="720" w:left="1571"/>
      </w:pPr>
      <w:rPr>
        <w:b w:val="1"/>
      </w:r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hanging="720" w:left="1288"/>
      </w:pPr>
      <w:rPr>
        <w:b w:val="1"/>
        <w:color w:val="000000"/>
      </w:r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hanging="1080" w:left="2913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hanging="1080" w:left="3404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hanging="1440" w:left="4255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hanging="1440" w:left="4746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hanging="1800" w:left="5597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hanging="1800" w:left="6088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leader="none" w:pos="0" w:val="left"/>
        </w:tabs>
        <w:ind w:hanging="360" w:left="72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5">
    <w:lvl w:ilvl="0">
      <w:start w:val="1"/>
      <w:numFmt w:val="decimal"/>
      <w:pStyle w:val="Style_30"/>
      <w:lvlText w:val="%1."/>
      <w:lvlJc w:val="left"/>
      <w:pPr>
        <w:tabs>
          <w:tab w:leader="none" w:pos="1985" w:val="left"/>
        </w:tabs>
        <w:ind w:firstLine="709" w:left="0"/>
      </w:pPr>
      <w:rPr>
        <w:b w:val="1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1">
      <w:start w:val="1"/>
      <w:numFmt w:val="decimal"/>
      <w:pStyle w:val="Style_52"/>
      <w:lvlText w:val="%1.%2"/>
      <w:lvlJc w:val="left"/>
      <w:pPr>
        <w:tabs>
          <w:tab w:leader="none" w:pos="1985" w:val="left"/>
        </w:tabs>
        <w:ind w:firstLine="709" w:left="0"/>
      </w:pPr>
      <w:rPr>
        <w:b w:val="1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2">
      <w:start w:val="1"/>
      <w:numFmt w:val="decimal"/>
      <w:pStyle w:val="Style_28"/>
      <w:lvlText w:val="%1.%2.%3"/>
      <w:lvlJc w:val="left"/>
      <w:pPr>
        <w:tabs>
          <w:tab w:leader="none" w:pos="1985" w:val="left"/>
        </w:tabs>
        <w:ind w:firstLine="709" w:left="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3">
      <w:start w:val="1"/>
      <w:numFmt w:val="decimal"/>
      <w:pStyle w:val="Style_48"/>
      <w:lvlText w:val="%1.%2.%3.%4"/>
      <w:lvlJc w:val="left"/>
      <w:pPr>
        <w:tabs>
          <w:tab w:leader="none" w:pos="1985" w:val="left"/>
        </w:tabs>
        <w:ind w:firstLine="709" w:left="0"/>
      </w:pPr>
      <w:rPr>
        <w:b w:val="0"/>
        <w:i w:val="0"/>
        <w:caps w:val="0"/>
        <w:smallCaps w:val="0"/>
        <w:strike w:val="0"/>
        <w:color w:val="000000"/>
        <w:spacing w:val="0"/>
        <w:sz w:val="28"/>
        <w:u w:val="none"/>
      </w:rPr>
    </w:lvl>
    <w:lvl w:ilvl="4">
      <w:start w:val="1"/>
      <w:numFmt w:val="decimal"/>
      <w:pStyle w:val="Style_42"/>
      <w:lvlText w:val="%1.%2.%3.%4.%5"/>
      <w:lvlJc w:val="left"/>
      <w:pPr>
        <w:tabs>
          <w:tab w:leader="none" w:pos="1985" w:val="left"/>
        </w:tabs>
        <w:ind w:firstLine="709" w:left="0"/>
      </w:pPr>
      <w:rPr>
        <w:b w:val="0"/>
        <w:i w:val="0"/>
        <w:caps w:val="0"/>
        <w:smallCaps w:val="0"/>
        <w:strike w:val="0"/>
        <w:color w:val="000000"/>
        <w:spacing w:val="0"/>
        <w:sz w:val="20"/>
        <w:u w:val="none"/>
      </w:rPr>
    </w:lvl>
    <w:lvl w:ilvl="5">
      <w:start w:val="1"/>
      <w:numFmt w:val="russianLower"/>
      <w:pStyle w:val="Style_21"/>
      <w:lvlText w:val="%6)"/>
      <w:lvlJc w:val="left"/>
      <w:pPr>
        <w:tabs>
          <w:tab w:leader="none" w:pos="360" w:val="left"/>
        </w:tabs>
        <w:ind w:firstLine="0" w:left="0"/>
      </w:pPr>
    </w:lvl>
    <w:lvl w:ilvl="6">
      <w:numFmt w:val="decimal"/>
      <w:pStyle w:val="Style_32"/>
      <w:lvlText w:val=""/>
      <w:lvlJc w:val="left"/>
      <w:pPr>
        <w:tabs>
          <w:tab w:leader="none" w:pos="0" w:val="left"/>
        </w:tabs>
        <w:ind w:firstLine="0" w:left="0"/>
      </w:pPr>
    </w:lvl>
    <w:lvl w:ilvl="7"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8">
      <w:numFmt w:val="decimal"/>
      <w:lvlText w:val="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keepLines w:val="1"/>
      <w:ind/>
      <w:jc w:val="both"/>
    </w:pPr>
    <w:rPr>
      <w:rFonts w:ascii="Arial" w:hAnsi="Arial"/>
      <w:sz w:val="24"/>
    </w:rPr>
  </w:style>
  <w:style w:default="1" w:styleId="Style_5_ch" w:type="character">
    <w:name w:val="Normal"/>
    <w:link w:val="Style_5"/>
    <w:rPr>
      <w:rFonts w:ascii="Arial" w:hAnsi="Arial"/>
      <w:sz w:val="24"/>
    </w:rPr>
  </w:style>
  <w:style w:styleId="Style_6" w:type="paragraph">
    <w:name w:val="Document Map"/>
    <w:basedOn w:val="Style_5"/>
    <w:link w:val="Style_6_ch"/>
    <w:rPr>
      <w:rFonts w:ascii="Tahoma" w:hAnsi="Tahoma"/>
      <w:sz w:val="16"/>
    </w:rPr>
  </w:style>
  <w:style w:styleId="Style_6_ch" w:type="character">
    <w:name w:val="Document Map"/>
    <w:basedOn w:val="Style_5_ch"/>
    <w:link w:val="Style_6"/>
    <w:rPr>
      <w:rFonts w:ascii="Tahoma" w:hAnsi="Tahoma"/>
      <w:sz w:val="16"/>
    </w:rPr>
  </w:style>
  <w:style w:styleId="Style_7" w:type="paragraph">
    <w:name w:val="toc 2"/>
    <w:next w:val="Style_5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5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Символ нумерации"/>
    <w:link w:val="Style_9_ch"/>
  </w:style>
  <w:style w:styleId="Style_9_ch" w:type="character">
    <w:name w:val="Символ нумерации"/>
    <w:link w:val="Style_9"/>
  </w:style>
  <w:style w:styleId="Style_10" w:type="paragraph">
    <w:name w:val="toc 6"/>
    <w:next w:val="Style_5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List Paragraph"/>
    <w:basedOn w:val="Style_5"/>
    <w:link w:val="Style_11_ch"/>
    <w:pPr>
      <w:ind w:firstLine="0" w:left="720"/>
      <w:contextualSpacing w:val="1"/>
    </w:pPr>
  </w:style>
  <w:style w:styleId="Style_11_ch" w:type="character">
    <w:name w:val="List Paragraph"/>
    <w:basedOn w:val="Style_5_ch"/>
    <w:link w:val="Style_11"/>
  </w:style>
  <w:style w:styleId="Style_12" w:type="paragraph">
    <w:name w:val="toc 7"/>
    <w:next w:val="Style_5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index heading"/>
    <w:basedOn w:val="Style_5"/>
    <w:link w:val="Style_13_ch"/>
    <w:rPr>
      <w:rFonts w:ascii="PT Astra Serif" w:hAnsi="PT Astra Serif"/>
    </w:rPr>
  </w:style>
  <w:style w:styleId="Style_13_ch" w:type="character">
    <w:name w:val="index heading"/>
    <w:basedOn w:val="Style_5_ch"/>
    <w:link w:val="Style_13"/>
    <w:rPr>
      <w:rFonts w:ascii="PT Astra Serif" w:hAnsi="PT Astra Serif"/>
    </w:rPr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spacing w:after="60" w:before="240"/>
      <w:ind/>
      <w:outlineLvl w:val="2"/>
    </w:pPr>
    <w:rPr>
      <w:b w:val="1"/>
      <w:sz w:val="28"/>
    </w:rPr>
  </w:style>
  <w:style w:styleId="Style_14_ch" w:type="character">
    <w:name w:val="heading 3"/>
    <w:basedOn w:val="Style_5_ch"/>
    <w:link w:val="Style_14"/>
    <w:rPr>
      <w:b w:val="1"/>
      <w:sz w:val="28"/>
    </w:rPr>
  </w:style>
  <w:style w:styleId="Style_1" w:type="paragraph">
    <w:name w:val="P-Style"/>
    <w:basedOn w:val="Style_5"/>
    <w:link w:val="Style_1_ch"/>
    <w:pPr>
      <w:keepLines w:val="0"/>
      <w:spacing w:after="95" w:line="276" w:lineRule="auto"/>
      <w:ind/>
      <w:jc w:val="left"/>
    </w:pPr>
    <w:rPr>
      <w:rFonts w:ascii="Times New Roman" w:hAnsi="Times New Roman"/>
    </w:rPr>
  </w:style>
  <w:style w:styleId="Style_1_ch" w:type="character">
    <w:name w:val="P-Style"/>
    <w:basedOn w:val="Style_5_ch"/>
    <w:link w:val="Style_1"/>
    <w:rPr>
      <w:rFonts w:ascii="Times New Roman" w:hAnsi="Times New Roman"/>
    </w:rPr>
  </w:style>
  <w:style w:styleId="Style_15" w:type="paragraph">
    <w:name w:val="annotation text"/>
    <w:basedOn w:val="Style_5"/>
    <w:link w:val="Style_15_ch"/>
    <w:rPr>
      <w:sz w:val="20"/>
    </w:rPr>
  </w:style>
  <w:style w:styleId="Style_15_ch" w:type="character">
    <w:name w:val="annotation text"/>
    <w:basedOn w:val="Style_5_ch"/>
    <w:link w:val="Style_15"/>
    <w:rPr>
      <w:sz w:val="20"/>
    </w:rPr>
  </w:style>
  <w:style w:styleId="Style_3" w:type="paragraph">
    <w:name w:val="Стиль3"/>
    <w:basedOn w:val="Style_16"/>
    <w:link w:val="Style_3_ch"/>
    <w:pPr>
      <w:keepLines w:val="0"/>
      <w:widowControl w:val="0"/>
      <w:tabs>
        <w:tab w:leader="none" w:pos="1307" w:val="left"/>
      </w:tabs>
      <w:spacing w:after="0" w:line="240" w:lineRule="auto"/>
      <w:ind w:firstLine="0" w:left="1080"/>
    </w:pPr>
    <w:rPr>
      <w:rFonts w:ascii="Times New Roman" w:hAnsi="Times New Roman"/>
    </w:rPr>
  </w:style>
  <w:style w:styleId="Style_3_ch" w:type="character">
    <w:name w:val="Стиль3"/>
    <w:basedOn w:val="Style_16_ch"/>
    <w:link w:val="Style_3"/>
    <w:rPr>
      <w:rFonts w:ascii="Times New Roman" w:hAnsi="Times New Roman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annotation subject"/>
    <w:basedOn w:val="Style_15"/>
    <w:next w:val="Style_15"/>
    <w:link w:val="Style_18_ch"/>
    <w:pPr>
      <w:keepLines w:val="0"/>
      <w:spacing w:after="200"/>
      <w:ind/>
      <w:jc w:val="left"/>
    </w:pPr>
    <w:rPr>
      <w:b w:val="1"/>
    </w:rPr>
  </w:style>
  <w:style w:styleId="Style_18_ch" w:type="character">
    <w:name w:val="annotation subject"/>
    <w:basedOn w:val="Style_15_ch"/>
    <w:link w:val="Style_18"/>
    <w:rPr>
      <w:b w:val="1"/>
    </w:rPr>
  </w:style>
  <w:style w:styleId="Style_19" w:type="paragraph">
    <w:name w:val="List"/>
    <w:basedOn w:val="Style_20"/>
    <w:link w:val="Style_19_ch"/>
    <w:rPr>
      <w:rFonts w:ascii="PT Astra Serif" w:hAnsi="PT Astra Serif"/>
    </w:rPr>
  </w:style>
  <w:style w:styleId="Style_19_ch" w:type="character">
    <w:name w:val="List"/>
    <w:basedOn w:val="Style_20_ch"/>
    <w:link w:val="Style_19"/>
    <w:rPr>
      <w:rFonts w:ascii="PT Astra Serif" w:hAnsi="PT Astra Serif"/>
    </w:rPr>
  </w:style>
  <w:style w:styleId="Style_21" w:type="paragraph">
    <w:name w:val="Пункт-6"/>
    <w:basedOn w:val="Style_5"/>
    <w:link w:val="Style_21_ch"/>
    <w:pPr>
      <w:keepLines w:val="0"/>
      <w:numPr>
        <w:ilvl w:val="5"/>
        <w:numId w:val="6"/>
      </w:numPr>
      <w:tabs>
        <w:tab w:leader="none" w:pos="1985" w:val="left"/>
      </w:tabs>
      <w:ind w:firstLine="709" w:left="0"/>
    </w:pPr>
    <w:rPr>
      <w:rFonts w:ascii="Times New Roman" w:hAnsi="Times New Roman"/>
      <w:sz w:val="28"/>
    </w:rPr>
  </w:style>
  <w:style w:styleId="Style_21_ch" w:type="character">
    <w:name w:val="Пункт-6"/>
    <w:basedOn w:val="Style_5_ch"/>
    <w:link w:val="Style_21"/>
    <w:rPr>
      <w:rFonts w:ascii="Times New Roman" w:hAnsi="Times New Roman"/>
      <w:sz w:val="28"/>
    </w:rPr>
  </w:style>
  <w:style w:styleId="Style_22" w:type="paragraph">
    <w:name w:val="toc 3"/>
    <w:next w:val="Style_5"/>
    <w:link w:val="Style_2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23" w:type="paragraph">
    <w:name w:val="footer"/>
    <w:basedOn w:val="Style_5"/>
    <w:link w:val="Style_23_ch"/>
    <w:pPr>
      <w:tabs>
        <w:tab w:leader="none" w:pos="4677" w:val="center"/>
        <w:tab w:leader="none" w:pos="9355" w:val="right"/>
      </w:tabs>
      <w:ind/>
    </w:pPr>
  </w:style>
  <w:style w:styleId="Style_23_ch" w:type="character">
    <w:name w:val="footer"/>
    <w:basedOn w:val="Style_5_ch"/>
    <w:link w:val="Style_23"/>
  </w:style>
  <w:style w:styleId="Style_24" w:type="paragraph">
    <w:name w:val="Balloon Text"/>
    <w:basedOn w:val="Style_5"/>
    <w:link w:val="Style_24_ch"/>
    <w:rPr>
      <w:rFonts w:ascii="Tahoma" w:hAnsi="Tahoma"/>
      <w:sz w:val="16"/>
    </w:rPr>
  </w:style>
  <w:style w:styleId="Style_24_ch" w:type="character">
    <w:name w:val="Balloon Text"/>
    <w:basedOn w:val="Style_5_ch"/>
    <w:link w:val="Style_24"/>
    <w:rPr>
      <w:rFonts w:ascii="Tahoma" w:hAnsi="Tahoma"/>
      <w:sz w:val="16"/>
    </w:rPr>
  </w:style>
  <w:style w:styleId="Style_25" w:type="paragraph">
    <w:name w:val="annotation reference"/>
    <w:link w:val="Style_25_ch"/>
    <w:rPr>
      <w:sz w:val="16"/>
    </w:rPr>
  </w:style>
  <w:style w:styleId="Style_25_ch" w:type="character">
    <w:name w:val="annotation reference"/>
    <w:link w:val="Style_25"/>
    <w:rPr>
      <w:sz w:val="16"/>
    </w:rPr>
  </w:style>
  <w:style w:styleId="Style_26" w:type="paragraph">
    <w:name w:val="heading 5"/>
    <w:next w:val="Style_5"/>
    <w:link w:val="Style_2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6_ch" w:type="character">
    <w:name w:val="heading 5"/>
    <w:link w:val="Style_26"/>
    <w:rPr>
      <w:rFonts w:ascii="XO Thames" w:hAnsi="XO Thames"/>
      <w:b w:val="1"/>
      <w:sz w:val="22"/>
    </w:rPr>
  </w:style>
  <w:style w:styleId="Style_27" w:type="paragraph">
    <w:name w:val="Revision"/>
    <w:link w:val="Style_27_ch"/>
    <w:rPr>
      <w:rFonts w:ascii="Arial" w:hAnsi="Arial"/>
      <w:sz w:val="24"/>
    </w:rPr>
  </w:style>
  <w:style w:styleId="Style_27_ch" w:type="character">
    <w:name w:val="Revision"/>
    <w:link w:val="Style_27"/>
    <w:rPr>
      <w:rFonts w:ascii="Arial" w:hAnsi="Arial"/>
      <w:sz w:val="24"/>
    </w:rPr>
  </w:style>
  <w:style w:styleId="Style_28" w:type="paragraph">
    <w:name w:val="Пункт-3"/>
    <w:basedOn w:val="Style_5"/>
    <w:link w:val="Style_28_ch"/>
    <w:pPr>
      <w:keepLines w:val="0"/>
      <w:numPr>
        <w:ilvl w:val="2"/>
        <w:numId w:val="6"/>
      </w:numPr>
      <w:ind/>
    </w:pPr>
    <w:rPr>
      <w:rFonts w:ascii="Times New Roman" w:hAnsi="Times New Roman"/>
      <w:sz w:val="28"/>
    </w:rPr>
  </w:style>
  <w:style w:styleId="Style_28_ch" w:type="character">
    <w:name w:val="Пункт-3"/>
    <w:basedOn w:val="Style_5_ch"/>
    <w:link w:val="Style_28"/>
    <w:rPr>
      <w:rFonts w:ascii="Times New Roman" w:hAnsi="Times New Roman"/>
      <w:sz w:val="28"/>
    </w:rPr>
  </w:style>
  <w:style w:styleId="Style_29" w:type="paragraph">
    <w:name w:val="Основной текст 31"/>
    <w:basedOn w:val="Style_5"/>
    <w:link w:val="Style_29_ch"/>
    <w:pPr>
      <w:keepLines w:val="0"/>
      <w:spacing w:after="120"/>
      <w:ind/>
      <w:jc w:val="left"/>
    </w:pPr>
    <w:rPr>
      <w:rFonts w:ascii="Book Antiqua" w:hAnsi="Book Antiqua"/>
      <w:sz w:val="16"/>
    </w:rPr>
  </w:style>
  <w:style w:styleId="Style_29_ch" w:type="character">
    <w:name w:val="Основной текст 31"/>
    <w:basedOn w:val="Style_5_ch"/>
    <w:link w:val="Style_29"/>
    <w:rPr>
      <w:rFonts w:ascii="Book Antiqua" w:hAnsi="Book Antiqua"/>
      <w:sz w:val="16"/>
    </w:rPr>
  </w:style>
  <w:style w:styleId="Style_30" w:type="paragraph">
    <w:name w:val="heading 1"/>
    <w:basedOn w:val="Style_5"/>
    <w:next w:val="Style_5"/>
    <w:link w:val="Style_30_ch"/>
    <w:uiPriority w:val="9"/>
    <w:qFormat/>
    <w:pPr>
      <w:keepNext w:val="1"/>
      <w:numPr>
        <w:numId w:val="6"/>
      </w:numPr>
      <w:ind/>
      <w:jc w:val="left"/>
      <w:outlineLvl w:val="0"/>
    </w:pPr>
    <w:rPr>
      <w:rFonts w:ascii="Times New Roman" w:hAnsi="Times New Roman"/>
      <w:b w:val="1"/>
      <w:sz w:val="28"/>
    </w:rPr>
  </w:style>
  <w:style w:styleId="Style_30_ch" w:type="character">
    <w:name w:val="heading 1"/>
    <w:basedOn w:val="Style_5_ch"/>
    <w:link w:val="Style_30"/>
    <w:rPr>
      <w:rFonts w:ascii="Times New Roman" w:hAnsi="Times New Roman"/>
      <w:b w:val="1"/>
      <w:sz w:val="28"/>
    </w:rPr>
  </w:style>
  <w:style w:styleId="Style_31" w:type="paragraph">
    <w:name w:val="Содержимое таблицы"/>
    <w:basedOn w:val="Style_5"/>
    <w:link w:val="Style_31_ch"/>
    <w:pPr>
      <w:widowControl w:val="0"/>
      <w:ind/>
    </w:pPr>
  </w:style>
  <w:style w:styleId="Style_31_ch" w:type="character">
    <w:name w:val="Содержимое таблицы"/>
    <w:basedOn w:val="Style_5_ch"/>
    <w:link w:val="Style_31"/>
  </w:style>
  <w:style w:styleId="Style_32" w:type="paragraph">
    <w:name w:val="Пункт-7"/>
    <w:basedOn w:val="Style_5"/>
    <w:link w:val="Style_32_ch"/>
    <w:pPr>
      <w:keepLines w:val="0"/>
      <w:numPr>
        <w:ilvl w:val="6"/>
        <w:numId w:val="6"/>
      </w:numPr>
      <w:ind w:firstLine="709" w:left="0"/>
    </w:pPr>
    <w:rPr>
      <w:rFonts w:ascii="Times New Roman" w:hAnsi="Times New Roman"/>
      <w:sz w:val="28"/>
    </w:rPr>
  </w:style>
  <w:style w:styleId="Style_32_ch" w:type="character">
    <w:name w:val="Пункт-7"/>
    <w:basedOn w:val="Style_5_ch"/>
    <w:link w:val="Style_32"/>
    <w:rPr>
      <w:rFonts w:ascii="Times New Roman" w:hAnsi="Times New Roman"/>
      <w:sz w:val="28"/>
    </w:rPr>
  </w:style>
  <w:style w:styleId="Style_33" w:type="paragraph">
    <w:name w:val="Hyperlink"/>
    <w:link w:val="Style_33_ch"/>
    <w:rPr>
      <w:strike w:val="0"/>
      <w:color w:val="0063A4"/>
      <w:u w:val="none"/>
    </w:rPr>
  </w:style>
  <w:style w:styleId="Style_33_ch" w:type="character">
    <w:name w:val="Hyperlink"/>
    <w:link w:val="Style_33"/>
    <w:rPr>
      <w:strike w:val="0"/>
      <w:color w:val="0063A4"/>
      <w:u w:val="none"/>
    </w:rPr>
  </w:style>
  <w:style w:styleId="Style_34" w:type="paragraph">
    <w:name w:val="Footnote"/>
    <w:link w:val="Style_34_ch"/>
    <w:pPr>
      <w:ind w:firstLine="851" w:left="0"/>
      <w:jc w:val="both"/>
    </w:pPr>
    <w:rPr>
      <w:rFonts w:ascii="XO Thames" w:hAnsi="XO Thames"/>
      <w:sz w:val="22"/>
    </w:rPr>
  </w:style>
  <w:style w:styleId="Style_34_ch" w:type="character">
    <w:name w:val="Footnote"/>
    <w:link w:val="Style_34"/>
    <w:rPr>
      <w:rFonts w:ascii="XO Thames" w:hAnsi="XO Thames"/>
      <w:sz w:val="22"/>
    </w:rPr>
  </w:style>
  <w:style w:styleId="Style_35" w:type="paragraph">
    <w:name w:val="toc 1"/>
    <w:next w:val="Style_5"/>
    <w:link w:val="Style_3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5_ch" w:type="character">
    <w:name w:val="toc 1"/>
    <w:link w:val="Style_35"/>
    <w:rPr>
      <w:rFonts w:ascii="XO Thames" w:hAnsi="XO Thames"/>
      <w:b w:val="1"/>
      <w:sz w:val="28"/>
    </w:rPr>
  </w:style>
  <w:style w:styleId="Style_36" w:type="paragraph">
    <w:name w:val="Header and Footer"/>
    <w:link w:val="Style_36_ch"/>
    <w:pPr>
      <w:spacing w:line="240" w:lineRule="auto"/>
      <w:ind/>
      <w:jc w:val="both"/>
    </w:pPr>
    <w:rPr>
      <w:rFonts w:ascii="XO Thames" w:hAnsi="XO Thames"/>
      <w:sz w:val="20"/>
    </w:rPr>
  </w:style>
  <w:style w:styleId="Style_36_ch" w:type="character">
    <w:name w:val="Header and Footer"/>
    <w:link w:val="Style_36"/>
    <w:rPr>
      <w:rFonts w:ascii="XO Thames" w:hAnsi="XO Thames"/>
      <w:sz w:val="20"/>
    </w:rPr>
  </w:style>
  <w:style w:styleId="Style_37" w:type="paragraph">
    <w:name w:val="header"/>
    <w:basedOn w:val="Style_5"/>
    <w:link w:val="Style_37_ch"/>
    <w:pPr>
      <w:tabs>
        <w:tab w:leader="none" w:pos="4677" w:val="center"/>
        <w:tab w:leader="none" w:pos="9355" w:val="right"/>
      </w:tabs>
      <w:ind/>
    </w:pPr>
  </w:style>
  <w:style w:styleId="Style_37_ch" w:type="character">
    <w:name w:val="header"/>
    <w:basedOn w:val="Style_5_ch"/>
    <w:link w:val="Style_37"/>
  </w:style>
  <w:style w:styleId="Style_38" w:type="paragraph">
    <w:name w:val="Основной текст с отступом 31"/>
    <w:basedOn w:val="Style_5"/>
    <w:link w:val="Style_38_ch"/>
    <w:pPr>
      <w:keepLines w:val="0"/>
      <w:ind w:firstLine="709" w:left="0"/>
    </w:pPr>
    <w:rPr>
      <w:rFonts w:ascii="Times New Roman" w:hAnsi="Times New Roman"/>
      <w:b w:val="1"/>
      <w:sz w:val="26"/>
    </w:rPr>
  </w:style>
  <w:style w:styleId="Style_38_ch" w:type="character">
    <w:name w:val="Основной текст с отступом 31"/>
    <w:basedOn w:val="Style_5_ch"/>
    <w:link w:val="Style_38"/>
    <w:rPr>
      <w:rFonts w:ascii="Times New Roman" w:hAnsi="Times New Roman"/>
      <w:b w:val="1"/>
      <w:sz w:val="26"/>
    </w:rPr>
  </w:style>
  <w:style w:styleId="Style_39" w:type="paragraph">
    <w:name w:val="Колонтитул"/>
    <w:basedOn w:val="Style_5"/>
    <w:link w:val="Style_39_ch"/>
  </w:style>
  <w:style w:styleId="Style_39_ch" w:type="character">
    <w:name w:val="Колонтитул"/>
    <w:basedOn w:val="Style_5_ch"/>
    <w:link w:val="Style_39"/>
  </w:style>
  <w:style w:styleId="Style_40" w:type="paragraph">
    <w:name w:val="toc 9"/>
    <w:next w:val="Style_5"/>
    <w:link w:val="Style_4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40_ch" w:type="character">
    <w:name w:val="toc 9"/>
    <w:link w:val="Style_40"/>
    <w:rPr>
      <w:rFonts w:ascii="XO Thames" w:hAnsi="XO Thames"/>
      <w:sz w:val="28"/>
    </w:rPr>
  </w:style>
  <w:style w:styleId="Style_41" w:type="paragraph">
    <w:name w:val="FollowedHyperlink"/>
    <w:link w:val="Style_41_ch"/>
    <w:rPr>
      <w:color w:val="800080"/>
      <w:u w:val="single"/>
    </w:rPr>
  </w:style>
  <w:style w:styleId="Style_41_ch" w:type="character">
    <w:name w:val="FollowedHyperlink"/>
    <w:link w:val="Style_41"/>
    <w:rPr>
      <w:color w:val="800080"/>
      <w:u w:val="single"/>
    </w:rPr>
  </w:style>
  <w:style w:styleId="Style_42" w:type="paragraph">
    <w:name w:val="Пункт-5"/>
    <w:basedOn w:val="Style_5"/>
    <w:link w:val="Style_42_ch"/>
    <w:pPr>
      <w:keepLines w:val="0"/>
      <w:numPr>
        <w:ilvl w:val="4"/>
        <w:numId w:val="6"/>
      </w:numPr>
      <w:ind/>
    </w:pPr>
    <w:rPr>
      <w:rFonts w:ascii="Times New Roman" w:hAnsi="Times New Roman"/>
      <w:sz w:val="28"/>
    </w:rPr>
  </w:style>
  <w:style w:styleId="Style_42_ch" w:type="character">
    <w:name w:val="Пункт-5"/>
    <w:basedOn w:val="Style_5_ch"/>
    <w:link w:val="Style_42"/>
    <w:rPr>
      <w:rFonts w:ascii="Times New Roman" w:hAnsi="Times New Roman"/>
      <w:sz w:val="28"/>
    </w:rPr>
  </w:style>
  <w:style w:styleId="Style_43" w:type="paragraph">
    <w:name w:val="toc 8"/>
    <w:next w:val="Style_5"/>
    <w:link w:val="Style_4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3_ch" w:type="character">
    <w:name w:val="toc 8"/>
    <w:link w:val="Style_43"/>
    <w:rPr>
      <w:rFonts w:ascii="XO Thames" w:hAnsi="XO Thames"/>
      <w:sz w:val="28"/>
    </w:rPr>
  </w:style>
  <w:style w:styleId="Style_44" w:type="paragraph">
    <w:name w:val="Normal (Web)"/>
    <w:basedOn w:val="Style_5"/>
    <w:link w:val="Style_44_ch"/>
    <w:pPr>
      <w:keepLines w:val="0"/>
      <w:spacing w:afterAutospacing="on" w:beforeAutospacing="on"/>
      <w:ind/>
      <w:jc w:val="left"/>
    </w:pPr>
    <w:rPr>
      <w:rFonts w:ascii="Times New Roman" w:hAnsi="Times New Roman"/>
    </w:rPr>
  </w:style>
  <w:style w:styleId="Style_44_ch" w:type="character">
    <w:name w:val="Normal (Web)"/>
    <w:basedOn w:val="Style_5_ch"/>
    <w:link w:val="Style_44"/>
    <w:rPr>
      <w:rFonts w:ascii="Times New Roman" w:hAnsi="Times New Roman"/>
    </w:rPr>
  </w:style>
  <w:style w:styleId="Style_45" w:type="paragraph">
    <w:name w:val="ConsNormal"/>
    <w:link w:val="Style_45_ch"/>
    <w:pPr>
      <w:ind w:firstLine="720" w:left="0" w:right="19772"/>
    </w:pPr>
    <w:rPr>
      <w:rFonts w:ascii="Arial" w:hAnsi="Arial"/>
      <w:sz w:val="24"/>
    </w:rPr>
  </w:style>
  <w:style w:styleId="Style_45_ch" w:type="character">
    <w:name w:val="ConsNormal"/>
    <w:link w:val="Style_45"/>
    <w:rPr>
      <w:rFonts w:ascii="Arial" w:hAnsi="Arial"/>
      <w:sz w:val="24"/>
    </w:rPr>
  </w:style>
  <w:style w:styleId="Style_46" w:type="paragraph">
    <w:name w:val="caption"/>
    <w:basedOn w:val="Style_5"/>
    <w:link w:val="Style_46_ch"/>
    <w:pPr>
      <w:spacing w:after="120" w:before="120"/>
      <w:ind/>
    </w:pPr>
    <w:rPr>
      <w:rFonts w:ascii="PT Astra Serif" w:hAnsi="PT Astra Serif"/>
      <w:i w:val="1"/>
    </w:rPr>
  </w:style>
  <w:style w:styleId="Style_46_ch" w:type="character">
    <w:name w:val="caption"/>
    <w:basedOn w:val="Style_5_ch"/>
    <w:link w:val="Style_46"/>
    <w:rPr>
      <w:rFonts w:ascii="PT Astra Serif" w:hAnsi="PT Astra Serif"/>
      <w:i w:val="1"/>
    </w:rPr>
  </w:style>
  <w:style w:styleId="Style_20" w:type="paragraph">
    <w:name w:val="Body Text"/>
    <w:basedOn w:val="Style_5"/>
    <w:link w:val="Style_20_ch"/>
    <w:pPr>
      <w:spacing w:after="160"/>
      <w:ind/>
    </w:pPr>
  </w:style>
  <w:style w:styleId="Style_20_ch" w:type="character">
    <w:name w:val="Body Text"/>
    <w:basedOn w:val="Style_5_ch"/>
    <w:link w:val="Style_20"/>
  </w:style>
  <w:style w:styleId="Style_47" w:type="paragraph">
    <w:name w:val="toc 5"/>
    <w:next w:val="Style_5"/>
    <w:link w:val="Style_4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7_ch" w:type="character">
    <w:name w:val="toc 5"/>
    <w:link w:val="Style_47"/>
    <w:rPr>
      <w:rFonts w:ascii="XO Thames" w:hAnsi="XO Thames"/>
      <w:sz w:val="28"/>
    </w:rPr>
  </w:style>
  <w:style w:styleId="Style_48" w:type="paragraph">
    <w:name w:val="Пункт-4"/>
    <w:basedOn w:val="Style_5"/>
    <w:link w:val="Style_48_ch"/>
    <w:pPr>
      <w:keepLines w:val="0"/>
      <w:numPr>
        <w:ilvl w:val="3"/>
        <w:numId w:val="6"/>
      </w:numPr>
      <w:ind/>
    </w:pPr>
    <w:rPr>
      <w:rFonts w:ascii="Times New Roman" w:hAnsi="Times New Roman"/>
      <w:sz w:val="28"/>
    </w:rPr>
  </w:style>
  <w:style w:styleId="Style_48_ch" w:type="character">
    <w:name w:val="Пункт-4"/>
    <w:basedOn w:val="Style_5_ch"/>
    <w:link w:val="Style_48"/>
    <w:rPr>
      <w:rFonts w:ascii="Times New Roman" w:hAnsi="Times New Roman"/>
      <w:sz w:val="28"/>
    </w:rPr>
  </w:style>
  <w:style w:styleId="Style_16" w:type="paragraph">
    <w:name w:val="Body Text Indent 2"/>
    <w:basedOn w:val="Style_5"/>
    <w:link w:val="Style_16_ch"/>
    <w:pPr>
      <w:spacing w:after="120" w:line="480" w:lineRule="auto"/>
      <w:ind w:firstLine="0" w:left="283"/>
    </w:pPr>
  </w:style>
  <w:style w:styleId="Style_16_ch" w:type="character">
    <w:name w:val="Body Text Indent 2"/>
    <w:basedOn w:val="Style_5_ch"/>
    <w:link w:val="Style_16"/>
  </w:style>
  <w:style w:styleId="Style_49" w:type="paragraph">
    <w:name w:val="Subtitle"/>
    <w:next w:val="Style_5"/>
    <w:link w:val="Style_4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9_ch" w:type="character">
    <w:name w:val="Subtitle"/>
    <w:link w:val="Style_49"/>
    <w:rPr>
      <w:rFonts w:ascii="XO Thames" w:hAnsi="XO Thames"/>
      <w:i w:val="1"/>
      <w:sz w:val="24"/>
    </w:rPr>
  </w:style>
  <w:style w:styleId="Style_50" w:type="paragraph">
    <w:name w:val="Title"/>
    <w:basedOn w:val="Style_5"/>
    <w:next w:val="Style_20"/>
    <w:link w:val="Style_50_ch"/>
    <w:uiPriority w:val="10"/>
    <w:qFormat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50_ch" w:type="character">
    <w:name w:val="Title"/>
    <w:basedOn w:val="Style_5_ch"/>
    <w:link w:val="Style_50"/>
    <w:rPr>
      <w:rFonts w:ascii="PT Astra Serif" w:hAnsi="PT Astra Serif"/>
      <w:sz w:val="28"/>
    </w:rPr>
  </w:style>
  <w:style w:styleId="Style_51" w:type="paragraph">
    <w:name w:val="heading 4"/>
    <w:next w:val="Style_5"/>
    <w:link w:val="Style_5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51_ch" w:type="character">
    <w:name w:val="heading 4"/>
    <w:link w:val="Style_51"/>
    <w:rPr>
      <w:rFonts w:ascii="XO Thames" w:hAnsi="XO Thames"/>
      <w:b w:val="1"/>
      <w:sz w:val="24"/>
    </w:rPr>
  </w:style>
  <w:style w:styleId="Style_52" w:type="paragraph">
    <w:name w:val="heading 2"/>
    <w:basedOn w:val="Style_5"/>
    <w:next w:val="Style_28"/>
    <w:link w:val="Style_52_ch"/>
    <w:uiPriority w:val="9"/>
    <w:qFormat/>
    <w:pPr>
      <w:keepNext w:val="1"/>
      <w:keepLines w:val="0"/>
      <w:numPr>
        <w:ilvl w:val="1"/>
        <w:numId w:val="6"/>
      </w:numPr>
      <w:ind/>
      <w:jc w:val="left"/>
      <w:outlineLvl w:val="1"/>
    </w:pPr>
    <w:rPr>
      <w:rFonts w:ascii="Times New Roman" w:hAnsi="Times New Roman"/>
      <w:b w:val="1"/>
      <w:sz w:val="28"/>
    </w:rPr>
  </w:style>
  <w:style w:styleId="Style_52_ch" w:type="character">
    <w:name w:val="heading 2"/>
    <w:basedOn w:val="Style_5_ch"/>
    <w:link w:val="Style_52"/>
    <w:rPr>
      <w:rFonts w:ascii="Times New Roman" w:hAnsi="Times New Roman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3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" w:type="table">
    <w:name w:val="Сетка таблицы1"/>
    <w:basedOn w:val="Style_4"/>
    <w:rPr>
      <w:color w:val="000000"/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4" w:type="table">
    <w:name w:val="style11427"/>
    <w:pPr>
      <w:spacing w:after="200" w:line="276" w:lineRule="auto"/>
      <w:ind/>
    </w:pPr>
    <w:rPr>
      <w:sz w:val="24"/>
    </w:rPr>
    <w:tblPr>
      <w:tblBorders>
        <w:top w:color="000000" w:sz="1" w:val="single"/>
        <w:left w:color="000000" w:sz="1" w:val="single"/>
        <w:bottom w:color="000000" w:sz="1" w:val="single"/>
        <w:right w:color="000000" w:sz="1" w:val="single"/>
        <w:insideH w:color="000000" w:sz="1" w:val="single"/>
        <w:insideV w:color="000000" w:sz="1" w:val="single"/>
      </w:tblBorders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1.png" Type="http://schemas.openxmlformats.org/officeDocument/2006/relationships/imag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2025-06-30T04:17:07Z</dcterms:modified>
</cp:coreProperties>
</file>