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drawing>
          <wp:inline>
            <wp:extent cx="1114425" cy="50482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1114425" cy="5048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5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ФЕДЕРАЛЬНОЕ ГОСУДАРСТВЕННОЕ УНИТАРНОЕ ПРЕДПРИЯТИЕ</w:t>
      </w:r>
    </w:p>
    <w:p w14:paraId="06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«ГОРНО-ХИМИЧЕСКИЙ КОМБИНАТ»</w:t>
      </w:r>
    </w:p>
    <w:p w14:paraId="07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(ФГУП  «ГХК»)</w:t>
      </w:r>
    </w:p>
    <w:p w14:paraId="08000000">
      <w:pPr>
        <w:widowControl w:val="0"/>
        <w:spacing w:before="120"/>
        <w:ind/>
        <w:jc w:val="center"/>
        <w:outlineLvl w:val="0"/>
        <w:rPr>
          <w:rFonts w:ascii="Times New Roman" w:hAnsi="Times New Roman"/>
          <w:b w:val="1"/>
        </w:rPr>
      </w:pPr>
      <w:bookmarkStart w:id="1" w:name="_Hlk201831080"/>
      <w:r>
        <w:rPr>
          <w:rFonts w:ascii="Times New Roman" w:hAnsi="Times New Roman"/>
          <w:b w:val="1"/>
        </w:rPr>
        <w:t>ПРОТОКОЛ № 32514933225/3</w:t>
      </w:r>
    </w:p>
    <w:p w14:paraId="09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 xml:space="preserve">заседания закупочной комиссии по подведению итогов закупки (итоговый протокол) открытого запроса предложений в электронной форме без </w:t>
      </w:r>
      <w:r>
        <w:rPr>
          <w:rFonts w:ascii="Times New Roman" w:hAnsi="Times New Roman"/>
          <w:b w:val="1"/>
          <w:sz w:val="22"/>
        </w:rPr>
        <w:t>предварительного квалификационного отбора на право заключения договора на оказание услуг по стирке, дезинфекции камерной, химической чистке белья и прочих изделий для ООО "С/п Юбилейный ГХК"</w:t>
      </w:r>
      <w:bookmarkEnd w:id="1"/>
    </w:p>
    <w:p w14:paraId="0A000000">
      <w:pPr>
        <w:widowControl w:val="0"/>
        <w:ind/>
        <w:jc w:val="center"/>
        <w:outlineLvl w:val="0"/>
        <w:rPr>
          <w:rFonts w:ascii="Times New Roman" w:hAnsi="Times New Roman"/>
        </w:rPr>
      </w:pPr>
    </w:p>
    <w:p w14:paraId="0B000000">
      <w:pPr>
        <w:keepLines w:val="0"/>
        <w:widowControl w:val="0"/>
        <w:tabs>
          <w:tab w:leader="none" w:pos="252" w:val="left"/>
        </w:tabs>
        <w:ind/>
        <w:rPr>
          <w:rFonts w:ascii="Times New Roman" w:hAnsi="Times New Roman"/>
          <w:b w:val="1"/>
        </w:rPr>
      </w:pPr>
      <w:r>
        <w:rPr>
          <w:rFonts w:ascii="Times New Roman" w:hAnsi="Times New Roman"/>
        </w:rPr>
        <w:t>г. Железногорск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дата подписания протокола « ___ » июня</w:t>
      </w:r>
      <w:r>
        <w:rPr>
          <w:rFonts w:ascii="Times New Roman" w:hAnsi="Times New Roman"/>
        </w:rPr>
        <w:t xml:space="preserve"> 2025 г.</w:t>
      </w:r>
    </w:p>
    <w:p w14:paraId="0C000000">
      <w:pPr>
        <w:keepLines w:val="0"/>
        <w:widowControl w:val="0"/>
        <w:tabs>
          <w:tab w:leader="none" w:pos="709" w:val="left"/>
        </w:tabs>
        <w:ind/>
        <w:rPr>
          <w:rFonts w:ascii="Times New Roman" w:hAnsi="Times New Roman"/>
        </w:rPr>
      </w:pPr>
    </w:p>
    <w:p w14:paraId="0D000000">
      <w:pPr>
        <w:pStyle w:val="Style_1"/>
        <w:spacing w:after="0" w:line="240" w:lineRule="auto"/>
        <w:ind/>
        <w:rPr>
          <w:b w:val="1"/>
        </w:rPr>
      </w:pPr>
      <w:r>
        <w:rPr>
          <w:b w:val="1"/>
        </w:rPr>
        <w:t>Информация о закупке:</w:t>
      </w:r>
    </w:p>
    <w:p w14:paraId="0E000000">
      <w:pPr>
        <w:pStyle w:val="Style_1"/>
        <w:ind/>
        <w:jc w:val="both"/>
      </w:pPr>
      <w:r>
        <w:rPr>
          <w:b w:val="1"/>
        </w:rPr>
        <w:t xml:space="preserve">Заказчик закупки: </w:t>
      </w:r>
      <w:r>
        <w:rPr>
          <w:sz w:val="23"/>
        </w:rPr>
        <w:t>Общество с ограниченной ответственностью «Санаторий-профилакторий Юбилейный Горно-химического комбината» (ООО « С/п Юбилейный ГХК»),  662970, РФ, Красноярский край, ЗАТО Железногорск, г. Железногорск, ул.</w:t>
      </w:r>
      <w:r>
        <w:rPr>
          <w:sz w:val="23"/>
        </w:rPr>
        <w:t xml:space="preserve"> Восточная, д. 2;</w:t>
      </w:r>
    </w:p>
    <w:p w14:paraId="0F000000">
      <w:pPr>
        <w:pStyle w:val="Style_1"/>
        <w:spacing w:after="0" w:line="240" w:lineRule="auto"/>
        <w:ind/>
        <w:jc w:val="both"/>
      </w:pPr>
      <w:r>
        <w:rPr>
          <w:b w:val="1"/>
        </w:rPr>
        <w:t xml:space="preserve">Организатор закупки: </w:t>
      </w:r>
      <w:r>
        <w:t>Федеральное государственное унитарное предприятие «Горно-химический комбинат» (Россия, 662972, ЗАТО Железногорск, г. Железногорск, Красноярского края, ул. Ленина, 53).</w:t>
      </w:r>
    </w:p>
    <w:p w14:paraId="10000000">
      <w:pPr>
        <w:pStyle w:val="Style_1"/>
        <w:spacing w:after="0" w:line="240" w:lineRule="auto"/>
        <w:ind/>
        <w:jc w:val="both"/>
      </w:pPr>
      <w:r>
        <w:rPr>
          <w:b w:val="1"/>
        </w:rPr>
        <w:t>Способ закупки:</w:t>
      </w:r>
      <w:r>
        <w:t xml:space="preserve"> открытый запрос предложений в эле</w:t>
      </w:r>
      <w:r>
        <w:t>ктронной форме, участниками которого могут быть только субъекты малого и среднего предпринимательства.</w:t>
      </w:r>
    </w:p>
    <w:p w14:paraId="11000000">
      <w:pPr>
        <w:pStyle w:val="Style_1"/>
        <w:spacing w:after="0" w:line="240" w:lineRule="auto"/>
        <w:ind/>
        <w:jc w:val="both"/>
        <w:rPr>
          <w:spacing w:val="-6"/>
        </w:rPr>
      </w:pPr>
      <w:r>
        <w:rPr>
          <w:b w:val="1"/>
        </w:rPr>
        <w:t xml:space="preserve">Предмет договора: </w:t>
      </w:r>
      <w:r>
        <w:t>оказание услуг по стирке, дезинфекции камерной, химической чистке белья и прочих изделий для ООО "С/п Юбилейный ГХК".</w:t>
      </w:r>
    </w:p>
    <w:p w14:paraId="12000000">
      <w:pPr>
        <w:pStyle w:val="Style_1"/>
        <w:spacing w:after="0" w:line="240" w:lineRule="auto"/>
        <w:ind/>
        <w:jc w:val="both"/>
      </w:pPr>
      <w:r>
        <w:rPr>
          <w:b w:val="1"/>
        </w:rPr>
        <w:t xml:space="preserve">Состав и объем </w:t>
      </w:r>
      <w:r>
        <w:rPr>
          <w:b w:val="1"/>
          <w:i w:val="1"/>
        </w:rPr>
        <w:t>то</w:t>
      </w:r>
      <w:r>
        <w:rPr>
          <w:b w:val="1"/>
          <w:i w:val="1"/>
        </w:rPr>
        <w:t>вара/работ/услуг</w:t>
      </w:r>
      <w:r>
        <w:rPr>
          <w:b w:val="1"/>
        </w:rPr>
        <w:t xml:space="preserve">: </w:t>
      </w:r>
      <w:r>
        <w:t>В соответствии с томом 2 «Техническая часть» документации по проведению закупки.</w:t>
      </w:r>
    </w:p>
    <w:p w14:paraId="13000000">
      <w:pPr>
        <w:pStyle w:val="Style_1"/>
        <w:spacing w:after="0" w:line="240" w:lineRule="auto"/>
        <w:ind/>
        <w:jc w:val="both"/>
      </w:pPr>
      <w:r>
        <w:rPr>
          <w:b w:val="1"/>
        </w:rPr>
        <w:t xml:space="preserve">Срок </w:t>
      </w:r>
      <w:r>
        <w:rPr>
          <w:b w:val="1"/>
          <w:i w:val="1"/>
        </w:rPr>
        <w:t>поставки товара, выполнения работ или оказания услуг</w:t>
      </w:r>
      <w:r>
        <w:rPr>
          <w:b w:val="1"/>
        </w:rPr>
        <w:t xml:space="preserve">: </w:t>
      </w:r>
      <w:r>
        <w:t>В соответствии с томом 2 «Техническая часть» документации по проведению закупки.</w:t>
      </w:r>
    </w:p>
    <w:p w14:paraId="14000000">
      <w:pPr>
        <w:tabs>
          <w:tab w:leader="none" w:pos="0" w:val="left"/>
        </w:tabs>
        <w:spacing w:before="113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Начальная (максим</w:t>
      </w:r>
      <w:r>
        <w:rPr>
          <w:rFonts w:ascii="Times New Roman" w:hAnsi="Times New Roman"/>
          <w:b w:val="1"/>
        </w:rPr>
        <w:t xml:space="preserve">альная) цена договора: </w:t>
      </w:r>
    </w:p>
    <w:p w14:paraId="15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1 299 000,00 </w:t>
      </w:r>
      <w:r>
        <w:rPr>
          <w:rFonts w:ascii="Times New Roman" w:hAnsi="Times New Roman"/>
        </w:rPr>
        <w:t>(один миллион двести девяносто девять тысяч)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</w:rPr>
        <w:t>рублей</w:t>
      </w:r>
      <w:r>
        <w:rPr>
          <w:rFonts w:ascii="Times New Roman" w:hAnsi="Times New Roman"/>
          <w:b w:val="1"/>
        </w:rPr>
        <w:t xml:space="preserve"> 00 копеек,</w:t>
      </w:r>
      <w:r>
        <w:rPr>
          <w:rFonts w:ascii="Times New Roman" w:hAnsi="Times New Roman"/>
        </w:rPr>
        <w:t xml:space="preserve"> с учетом НДС.</w:t>
      </w:r>
    </w:p>
    <w:p w14:paraId="16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Предельная стоимость закупки составляет: </w:t>
      </w:r>
    </w:p>
    <w:p w14:paraId="17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1 299 000,00 </w:t>
      </w:r>
      <w:r>
        <w:rPr>
          <w:rFonts w:ascii="Times New Roman" w:hAnsi="Times New Roman"/>
        </w:rPr>
        <w:t>(один миллион двести девяносто девять тысяч)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</w:rPr>
        <w:t>рублей</w:t>
      </w:r>
      <w:r>
        <w:rPr>
          <w:rFonts w:ascii="Times New Roman" w:hAnsi="Times New Roman"/>
          <w:b w:val="1"/>
        </w:rPr>
        <w:t xml:space="preserve"> 00 копеек,</w:t>
      </w:r>
      <w:r>
        <w:rPr>
          <w:rFonts w:ascii="Times New Roman" w:hAnsi="Times New Roman"/>
        </w:rPr>
        <w:t xml:space="preserve"> с учетом НДС.</w:t>
      </w:r>
    </w:p>
    <w:p w14:paraId="18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i w:val="1"/>
          <w:u w:val="single"/>
        </w:rPr>
        <w:t>Общая цена</w:t>
      </w:r>
      <w:r>
        <w:rPr>
          <w:rFonts w:ascii="Times New Roman" w:hAnsi="Times New Roman"/>
          <w:b w:val="1"/>
          <w:i w:val="1"/>
          <w:u w:val="single"/>
        </w:rPr>
        <w:t xml:space="preserve"> договора является фиксированной и не подлежит изменению</w:t>
      </w:r>
      <w:r>
        <w:rPr>
          <w:rFonts w:ascii="Times New Roman" w:hAnsi="Times New Roman"/>
          <w:b w:val="1"/>
        </w:rPr>
        <w:t>.</w:t>
      </w:r>
    </w:p>
    <w:p w14:paraId="19000000">
      <w:pPr>
        <w:keepLines w:val="0"/>
        <w:tabs>
          <w:tab w:leader="none" w:pos="709" w:val="left"/>
        </w:tabs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Начальная (максимальная) цена единицы услуги: </w:t>
      </w:r>
    </w:p>
    <w:tbl>
      <w:tblPr>
        <w:tblStyle w:val="Style_2"/>
        <w:tblInd w:type="dxa" w:w="113"/>
        <w:tblLayout w:type="fixed"/>
      </w:tblPr>
      <w:tblGrid>
        <w:gridCol w:w="809"/>
        <w:gridCol w:w="5805"/>
        <w:gridCol w:w="3308"/>
      </w:tblGrid>
      <w:tr>
        <w:tc>
          <w:tcPr>
            <w:tcW w:type="dxa" w:w="809"/>
          </w:tcPr>
          <w:p w14:paraId="1A000000">
            <w:pPr>
              <w:keepLines w:val="0"/>
              <w:widowControl w:val="0"/>
              <w:tabs>
                <w:tab w:leader="none" w:pos="1134" w:val="left"/>
              </w:tabs>
              <w:ind/>
              <w:contextualSpacing w:val="1"/>
              <w:rPr>
                <w:rFonts w:ascii="XO Thames" w:hAnsi="XO Thames"/>
              </w:rPr>
            </w:pPr>
            <w:r>
              <w:rPr>
                <w:rFonts w:ascii="XO Thames" w:hAnsi="XO Thames"/>
                <w:sz w:val="21"/>
              </w:rPr>
              <w:t>№ п/п</w:t>
            </w:r>
          </w:p>
        </w:tc>
        <w:tc>
          <w:tcPr>
            <w:tcW w:type="dxa" w:w="5805"/>
          </w:tcPr>
          <w:p w14:paraId="1B000000">
            <w:pPr>
              <w:keepLines w:val="0"/>
              <w:widowControl w:val="0"/>
              <w:tabs>
                <w:tab w:leader="none" w:pos="1134" w:val="left"/>
              </w:tabs>
              <w:ind/>
              <w:contextualSpacing w:val="1"/>
              <w:jc w:val="center"/>
              <w:rPr>
                <w:rFonts w:ascii="XO Thames" w:hAnsi="XO Thames"/>
              </w:rPr>
            </w:pPr>
            <w:r>
              <w:rPr>
                <w:rFonts w:ascii="XO Thames" w:hAnsi="XO Thames"/>
                <w:sz w:val="21"/>
              </w:rPr>
              <w:t>Наименование услуги</w:t>
            </w:r>
          </w:p>
        </w:tc>
        <w:tc>
          <w:tcPr>
            <w:tcW w:type="dxa" w:w="3308"/>
          </w:tcPr>
          <w:p w14:paraId="1C000000">
            <w:pPr>
              <w:keepLines w:val="0"/>
              <w:widowControl w:val="0"/>
              <w:tabs>
                <w:tab w:leader="none" w:pos="1134" w:val="left"/>
              </w:tabs>
              <w:ind/>
              <w:contextualSpacing w:val="1"/>
              <w:jc w:val="center"/>
              <w:rPr>
                <w:rFonts w:ascii="XO Thames" w:hAnsi="XO Thames"/>
              </w:rPr>
            </w:pPr>
            <w:r>
              <w:rPr>
                <w:rFonts w:ascii="XO Thames" w:hAnsi="XO Thames"/>
                <w:sz w:val="21"/>
              </w:rPr>
              <w:t>Начальная (максимальная) цена единицы услуги, руб. с НДС.</w:t>
            </w:r>
          </w:p>
        </w:tc>
      </w:tr>
      <w:tr>
        <w:tc>
          <w:tcPr>
            <w:tcW w:type="dxa" w:w="809"/>
          </w:tcPr>
          <w:p w14:paraId="1D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</w:tcPr>
          <w:p w14:paraId="1E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белья</w:t>
            </w:r>
          </w:p>
        </w:tc>
        <w:tc>
          <w:tcPr>
            <w:tcW w:type="dxa" w:w="3308"/>
          </w:tcPr>
          <w:p w14:paraId="1F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0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21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Оказание услуг по стирке </w:t>
            </w:r>
            <w:r>
              <w:rPr>
                <w:rFonts w:ascii="Times New Roman" w:hAnsi="Times New Roman"/>
              </w:rPr>
              <w:t>штор, портьер, тюля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22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3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24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одеял, покрывал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25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6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27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салфеток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28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9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2A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скатертей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2B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C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2D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камерной дезинфекции белья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2E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141,67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F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30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Оказание услуг по дезинфекции камерной </w:t>
            </w:r>
            <w:r>
              <w:rPr>
                <w:rFonts w:ascii="Times New Roman" w:hAnsi="Times New Roman"/>
              </w:rPr>
              <w:t>подушек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31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141,67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32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33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дезинфекции камерной одеял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34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141,67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35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36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химической стирке ковровых изделий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37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258,32</w:t>
            </w:r>
          </w:p>
        </w:tc>
      </w:tr>
    </w:tbl>
    <w:p w14:paraId="38000000">
      <w:pPr>
        <w:keepLines w:val="0"/>
        <w:widowControl w:val="0"/>
        <w:tabs>
          <w:tab w:leader="none" w:pos="252" w:val="left"/>
        </w:tabs>
        <w:spacing w:before="120"/>
        <w:ind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и закупочная документация опубликованы «10» июня 2025 года на официальном государственном сайте http://www.zakupki.gov.ru, закупка № </w:t>
      </w:r>
      <w:r>
        <w:rPr>
          <w:rFonts w:ascii="Times New Roman" w:hAnsi="Times New Roman"/>
          <w:b w:val="1"/>
        </w:rPr>
        <w:t>32514933225</w:t>
      </w:r>
      <w:r>
        <w:rPr>
          <w:rFonts w:ascii="Times New Roman" w:hAnsi="Times New Roman"/>
        </w:rPr>
        <w:t>, на официальном сайте по закупкам атомной отрасли http://zakupki.rosatom.ru, зак</w:t>
      </w:r>
      <w:r>
        <w:rPr>
          <w:rFonts w:ascii="Times New Roman" w:hAnsi="Times New Roman"/>
        </w:rPr>
        <w:t xml:space="preserve">упка № </w:t>
      </w:r>
      <w:r>
        <w:rPr>
          <w:rFonts w:ascii="Times New Roman" w:hAnsi="Times New Roman"/>
          <w:b w:val="1"/>
        </w:rPr>
        <w:t>88293</w:t>
      </w:r>
      <w:r>
        <w:rPr>
          <w:rFonts w:ascii="Times New Roman" w:hAnsi="Times New Roman"/>
        </w:rPr>
        <w:t xml:space="preserve">, на сайте ЭТП АО «ЭТС НЭП», закупка № </w:t>
      </w:r>
      <w:r>
        <w:rPr>
          <w:rFonts w:ascii="Times New Roman" w:hAnsi="Times New Roman"/>
          <w:b w:val="1"/>
        </w:rPr>
        <w:t>32514933225.</w:t>
      </w:r>
    </w:p>
    <w:p w14:paraId="39000000">
      <w:pPr>
        <w:pStyle w:val="Style_3"/>
        <w:tabs>
          <w:tab w:leader="none" w:pos="1307" w:val="clear"/>
        </w:tabs>
        <w:spacing w:before="120"/>
        <w:ind w:firstLine="0" w:left="0" w:right="-30"/>
      </w:pPr>
      <w:r>
        <w:t xml:space="preserve">Заседание закупочной комиссии проводится в очной форме в 07 :00  (время московское) « 30 » июня 2025 года, по адресу: 662972, РФ, ЗАТО Железногорск, г. Железногорск, Красноярского края, ул. Ленина, </w:t>
      </w:r>
      <w:r>
        <w:t>д.53.</w:t>
      </w:r>
    </w:p>
    <w:p w14:paraId="3A000000">
      <w:pPr>
        <w:widowControl w:val="0"/>
        <w:tabs>
          <w:tab w:leader="none" w:pos="252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Сведения о составе членов закупочной комиссии приведены в разделе «Закупочная комиссия» настоящего протокола.</w:t>
      </w:r>
    </w:p>
    <w:p w14:paraId="3B000000">
      <w:pPr>
        <w:widowControl w:val="0"/>
        <w:tabs>
          <w:tab w:leader="none" w:pos="252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__7_ из 12 членов закупочной комиссии. Кворум имеется.</w:t>
      </w:r>
    </w:p>
    <w:p w14:paraId="3C000000">
      <w:pPr>
        <w:keepLines w:val="0"/>
        <w:widowControl w:val="0"/>
        <w:numPr>
          <w:ilvl w:val="0"/>
          <w:numId w:val="2"/>
        </w:numPr>
        <w:tabs>
          <w:tab w:leader="none" w:pos="284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момент окончания срока подачи заявок на участие </w:t>
      </w:r>
      <w:r>
        <w:rPr>
          <w:rFonts w:ascii="Times New Roman" w:hAnsi="Times New Roman"/>
        </w:rPr>
        <w:t>в закупке на 05:00 (время московское) «20» июня 2025 года на ЭТП АО «ЭТС НЭП» всего подано: 1 (одна) заявка на участие в закупке.</w:t>
      </w:r>
    </w:p>
    <w:p w14:paraId="3D000000">
      <w:pPr>
        <w:keepNext w:val="1"/>
        <w:widowControl w:val="0"/>
        <w:spacing w:before="120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Результаты открытия доступа к заявкам на участие в закупке:</w:t>
      </w:r>
    </w:p>
    <w:p w14:paraId="3E000000">
      <w:pPr>
        <w:widowControl w:val="0"/>
        <w:ind/>
        <w:rPr>
          <w:rFonts w:ascii="Times New Roman" w:hAnsi="Times New Roman"/>
        </w:rPr>
      </w:pPr>
      <w:r>
        <w:rPr>
          <w:rFonts w:ascii="Times New Roman" w:hAnsi="Times New Roman"/>
        </w:rPr>
        <w:t>Сведения о количестве поданных на участие в открытом запросе предл</w:t>
      </w:r>
      <w:r>
        <w:rPr>
          <w:rFonts w:ascii="Times New Roman" w:hAnsi="Times New Roman"/>
        </w:rPr>
        <w:t>ожений заявок:</w:t>
      </w:r>
    </w:p>
    <w:tbl>
      <w:tblPr>
        <w:tblStyle w:val="Style_4"/>
        <w:tblLayout w:type="fixed"/>
        <w:tblCellMar>
          <w:left w:type="dxa" w:w="5"/>
          <w:right w:type="dxa" w:w="7"/>
        </w:tblCellMar>
      </w:tblPr>
      <w:tblGrid>
        <w:gridCol w:w="997"/>
        <w:gridCol w:w="3538"/>
        <w:gridCol w:w="5500"/>
      </w:tblGrid>
      <w:tr>
        <w:tc>
          <w:tcPr>
            <w:tcW w:type="dxa" w:w="997"/>
            <w:tcBorders>
              <w:top w:color="000000" w:sz="4" w:val="single"/>
              <w:left w:color="000000" w:sz="4" w:val="single"/>
              <w:bottom w:color="000000" w:sz="6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3F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Рег. № заявки на ЭТП</w:t>
            </w:r>
          </w:p>
        </w:tc>
        <w:tc>
          <w:tcPr>
            <w:tcW w:type="dxa" w:w="3538"/>
            <w:tcBorders>
              <w:top w:color="000000" w:sz="4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0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открытого запроса предложений</w:t>
            </w:r>
          </w:p>
        </w:tc>
        <w:tc>
          <w:tcPr>
            <w:tcW w:type="dxa" w:w="5500"/>
            <w:tcBorders>
              <w:top w:color="000000" w:sz="4" w:val="single"/>
              <w:left w:color="000000" w:sz="6" w:val="single"/>
              <w:bottom w:color="000000" w:sz="6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41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заявки на участие в открытом запросе предложений</w:t>
            </w:r>
          </w:p>
        </w:tc>
      </w:tr>
      <w:tr>
        <w:tc>
          <w:tcPr>
            <w:tcW w:type="dxa" w:w="997"/>
            <w:tcBorders>
              <w:top w:color="000000" w:sz="6" w:val="single"/>
              <w:left w:color="000000" w:sz="4" w:val="single"/>
              <w:bottom w:color="000000" w:sz="4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2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3538"/>
            <w:tcBorders>
              <w:top w:color="000000" w:sz="6" w:val="single"/>
              <w:left w:color="000000" w:sz="6" w:val="single"/>
              <w:bottom w:color="000000" w:sz="4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3000000">
            <w:pPr>
              <w:widowControl w:val="0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</w:rPr>
              <w:t>Участник №1</w:t>
            </w:r>
          </w:p>
        </w:tc>
        <w:tc>
          <w:tcPr>
            <w:tcW w:type="dxa" w:w="5500"/>
            <w:tcBorders>
              <w:top w:color="000000" w:sz="6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44000000">
            <w:pPr>
              <w:widowControl w:val="0"/>
              <w:ind/>
              <w:jc w:val="left"/>
              <w:rPr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Дата и время регистрации заявки: </w:t>
            </w:r>
          </w:p>
          <w:p w14:paraId="45000000">
            <w:pPr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«18» июня 2025 года 22:16 (время московское)</w:t>
            </w:r>
          </w:p>
        </w:tc>
      </w:tr>
    </w:tbl>
    <w:p w14:paraId="46000000">
      <w:pPr>
        <w:tabs>
          <w:tab w:leader="none" w:pos="426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связи с тем, что по </w:t>
      </w:r>
      <w:r>
        <w:rPr>
          <w:rFonts w:ascii="Times New Roman" w:hAnsi="Times New Roman"/>
        </w:rPr>
        <w:t>окончании срока подачи заявок на участие в закупке подана только одна заявка от одного участника, в соответствии с подпунктом а) пункта 1.1 части 1 статьи 6.4 ЕОСЗ закупка признана несостоявшейся.</w:t>
      </w:r>
    </w:p>
    <w:p w14:paraId="47000000">
      <w:pPr>
        <w:numPr>
          <w:ilvl w:val="0"/>
          <w:numId w:val="3"/>
        </w:numPr>
        <w:tabs>
          <w:tab w:leader="none" w:pos="426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Согласно протоколу от 23.06.2025 № 32514933225/1, по резуль</w:t>
      </w:r>
      <w:r>
        <w:rPr>
          <w:rFonts w:ascii="Times New Roman" w:hAnsi="Times New Roman"/>
        </w:rPr>
        <w:t>татам рассмотрения первых частей заявок на участие в закупке закупочной комиссией были приняты следующие решения:</w:t>
      </w:r>
    </w:p>
    <w:p w14:paraId="48000000">
      <w:pPr>
        <w:widowControl w:val="0"/>
        <w:numPr>
          <w:ilvl w:val="1"/>
          <w:numId w:val="3"/>
        </w:numPr>
        <w:tabs>
          <w:tab w:leader="none" w:pos="426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Допустить к дальнейшему участию в закупке следующих участников закупки, отвечающих требованиям закупочной документации и подавших заявки на уч</w:t>
      </w:r>
      <w:r>
        <w:rPr>
          <w:rFonts w:ascii="Times New Roman" w:hAnsi="Times New Roman"/>
        </w:rPr>
        <w:t>астие в закупке, отвечающие требованиям закупочной документации:</w:t>
      </w:r>
    </w:p>
    <w:p w14:paraId="49000000">
      <w:pPr>
        <w:widowControl w:val="0"/>
        <w:numPr>
          <w:ilvl w:val="2"/>
          <w:numId w:val="3"/>
        </w:numPr>
        <w:tabs>
          <w:tab w:leader="none" w:pos="426" w:val="left"/>
        </w:tabs>
        <w:spacing w:before="120"/>
        <w:ind w:firstLine="0" w:left="720"/>
        <w:rPr>
          <w:b w:val="1"/>
        </w:rPr>
      </w:pPr>
      <w:r>
        <w:rPr>
          <w:rFonts w:ascii="Times New Roman" w:hAnsi="Times New Roman"/>
          <w:b w:val="1"/>
        </w:rPr>
        <w:t>Участник №1</w:t>
      </w:r>
    </w:p>
    <w:p w14:paraId="4A000000">
      <w:pPr>
        <w:keepLines w:val="0"/>
        <w:widowControl w:val="0"/>
        <w:numPr>
          <w:ilvl w:val="1"/>
          <w:numId w:val="3"/>
        </w:numPr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Отказать в допуске к дальнейшему участию в закупке следующим участникам закупки, подавшим заявки: –</w:t>
      </w:r>
    </w:p>
    <w:p w14:paraId="4B000000">
      <w:pPr>
        <w:widowControl w:val="0"/>
        <w:spacing w:before="120"/>
        <w:ind/>
        <w:rPr>
          <w:sz w:val="22"/>
        </w:rPr>
      </w:pPr>
      <w:r>
        <w:rPr>
          <w:rFonts w:ascii="Times New Roman" w:hAnsi="Times New Roman"/>
          <w:i w:val="1"/>
          <w:sz w:val="22"/>
        </w:rPr>
        <w:t>Количество заявок на участие в закупке, которые отклонены: 0  заявок на участие</w:t>
      </w:r>
      <w:r>
        <w:rPr>
          <w:rFonts w:ascii="Times New Roman" w:hAnsi="Times New Roman"/>
          <w:i w:val="1"/>
          <w:sz w:val="22"/>
        </w:rPr>
        <w:t xml:space="preserve"> в закупке.</w:t>
      </w:r>
    </w:p>
    <w:p w14:paraId="4C000000">
      <w:pPr>
        <w:numPr>
          <w:ilvl w:val="0"/>
          <w:numId w:val="4"/>
        </w:numPr>
        <w:tabs>
          <w:tab w:leader="none" w:pos="567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Результаты открытия доступа ко вторым частям  заявок на участие в закупке:</w:t>
      </w:r>
    </w:p>
    <w:p w14:paraId="4D000000">
      <w:pPr>
        <w:rPr>
          <w:rFonts w:ascii="Times New Roman" w:hAnsi="Times New Roman"/>
        </w:rPr>
      </w:pPr>
      <w:r>
        <w:rPr>
          <w:rFonts w:ascii="Times New Roman" w:hAnsi="Times New Roman"/>
        </w:rPr>
        <w:t>Сведения об участниках закупки, подавших вторые части заявок на участие в закупке:</w:t>
      </w:r>
    </w:p>
    <w:tbl>
      <w:tblPr>
        <w:tblStyle w:val="Style_4"/>
        <w:tblLayout w:type="fixed"/>
        <w:tblCellMar>
          <w:left w:type="dxa" w:w="5"/>
          <w:right w:type="dxa" w:w="7"/>
        </w:tblCellMar>
      </w:tblPr>
      <w:tblGrid>
        <w:gridCol w:w="5384"/>
        <w:gridCol w:w="4651"/>
      </w:tblGrid>
      <w:tr>
        <w:tc>
          <w:tcPr>
            <w:tcW w:type="dxa" w:w="538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E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Рег. № заявки на ЭТП</w:t>
            </w:r>
          </w:p>
        </w:tc>
        <w:tc>
          <w:tcPr>
            <w:tcW w:type="dxa" w:w="4651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4F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Дата и время регистрации заявки</w:t>
            </w:r>
          </w:p>
        </w:tc>
      </w:tr>
      <w:tr>
        <w:trPr>
          <w:trHeight w:hRule="atLeast" w:val="433"/>
        </w:trPr>
        <w:tc>
          <w:tcPr>
            <w:tcW w:type="dxa" w:w="53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50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Участник № 1</w:t>
            </w:r>
          </w:p>
          <w:p w14:paraId="51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ООО “СИБСЕРВИСБЫТ”</w:t>
            </w:r>
          </w:p>
          <w:p w14:paraId="52000000">
            <w:pPr>
              <w:widowControl w:val="0"/>
              <w:tabs>
                <w:tab w:leader="none" w:pos="567" w:val="left"/>
              </w:tabs>
              <w:ind w:firstLine="0"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2462026455</w:t>
            </w:r>
          </w:p>
          <w:p w14:paraId="53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660124, Россия, Красноярский край, г. Красноярск, </w:t>
            </w:r>
            <w:r>
              <w:rPr>
                <w:rFonts w:ascii="Times New Roman" w:hAnsi="Times New Roman"/>
              </w:rPr>
              <w:t>им.героя</w:t>
            </w:r>
            <w:r>
              <w:rPr>
                <w:rFonts w:ascii="Times New Roman" w:hAnsi="Times New Roman"/>
              </w:rPr>
              <w:t xml:space="preserve"> Советского Союза </w:t>
            </w:r>
            <w:r>
              <w:rPr>
                <w:rFonts w:ascii="Times New Roman" w:hAnsi="Times New Roman"/>
              </w:rPr>
              <w:t>И.А.Борисевича</w:t>
            </w:r>
            <w:r>
              <w:rPr>
                <w:rFonts w:ascii="Times New Roman" w:hAnsi="Times New Roman"/>
              </w:rPr>
              <w:t>, 22</w:t>
            </w:r>
          </w:p>
        </w:tc>
        <w:tc>
          <w:tcPr>
            <w:tcW w:type="dxa" w:w="46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54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Дата и время поступления заявки:</w:t>
            </w:r>
          </w:p>
          <w:p w14:paraId="55000000">
            <w:pPr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«18» июня 2025 года </w:t>
            </w:r>
          </w:p>
          <w:p w14:paraId="56000000">
            <w:pPr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22:16  (время московское)</w:t>
            </w:r>
          </w:p>
        </w:tc>
      </w:tr>
    </w:tbl>
    <w:p w14:paraId="57000000">
      <w:pPr>
        <w:widowControl w:val="0"/>
        <w:tabs>
          <w:tab w:leader="none" w:pos="426" w:val="left"/>
        </w:tabs>
        <w:spacing w:after="113" w:before="113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b w:val="1"/>
        </w:rPr>
        <w:t>4</w:t>
      </w:r>
      <w:r>
        <w:rPr>
          <w:rFonts w:ascii="Times New Roman" w:hAnsi="Times New Roman"/>
        </w:rPr>
        <w:t>.Определение страны происхождения предлагаемого товара/ выполнения работ/ оказания услуг в соответствии с Постановлением Правительства РФ от 23.12.2024 N 1875 «О мерах по предоставлению национального режима при осуществлении закупок товаров, работ, услуг д</w:t>
      </w:r>
      <w:r>
        <w:rPr>
          <w:rFonts w:ascii="Times New Roman" w:hAnsi="Times New Roman"/>
        </w:rPr>
        <w:t>ля обеспечения государственных и муниципальных нужд, закупок товаров, работ, услуг отдельными видами юридических лиц»:</w:t>
      </w:r>
    </w:p>
    <w:tbl>
      <w:tblPr>
        <w:tblStyle w:val="Style_4"/>
        <w:tblLayout w:type="fixed"/>
        <w:tblCellMar>
          <w:left w:type="dxa" w:w="0"/>
          <w:right w:type="dxa" w:w="0"/>
        </w:tblCellMar>
      </w:tblPr>
      <w:tblGrid>
        <w:gridCol w:w="5797"/>
        <w:gridCol w:w="4238"/>
      </w:tblGrid>
      <w:tr>
        <w:tc>
          <w:tcPr>
            <w:tcW w:type="dxa" w:w="5797"/>
            <w:tcBorders>
              <w:top w:color="000000" w:sz="4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  <w:vAlign w:val="center"/>
          </w:tcPr>
          <w:p w14:paraId="58000000">
            <w:pPr>
              <w:widowControl w:val="0"/>
              <w:ind/>
              <w:jc w:val="center"/>
            </w:pPr>
            <w:r>
              <w:rPr>
                <w:rFonts w:ascii="Times New Roman" w:hAnsi="Times New Roman"/>
                <w:sz w:val="20"/>
              </w:rPr>
              <w:t>Наименование участника</w:t>
            </w:r>
          </w:p>
        </w:tc>
        <w:tc>
          <w:tcPr>
            <w:tcW w:type="dxa" w:w="4238"/>
            <w:tcBorders>
              <w:top w:color="000000" w:sz="4" w:val="single"/>
              <w:left w:color="000000" w:sz="6" w:val="single"/>
              <w:bottom w:color="000000" w:sz="6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  <w:vAlign w:val="center"/>
          </w:tcPr>
          <w:p w14:paraId="59000000">
            <w:pPr>
              <w:widowControl w:val="0"/>
              <w:ind/>
              <w:jc w:val="center"/>
            </w:pPr>
            <w:r>
              <w:rPr>
                <w:rFonts w:ascii="Times New Roman" w:hAnsi="Times New Roman"/>
                <w:sz w:val="20"/>
              </w:rPr>
              <w:t>Лица, выполняющие работы, оказывающие услуги</w:t>
            </w:r>
          </w:p>
        </w:tc>
      </w:tr>
      <w:tr>
        <w:tc>
          <w:tcPr>
            <w:tcW w:type="dxa" w:w="5797"/>
            <w:tcBorders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  <w:vAlign w:val="center"/>
          </w:tcPr>
          <w:p w14:paraId="5A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ООО “СИБСЕРВИСБЫТ”</w:t>
            </w:r>
          </w:p>
        </w:tc>
        <w:tc>
          <w:tcPr>
            <w:tcW w:type="dxa" w:w="4238"/>
            <w:tcBorders>
              <w:left w:color="000000" w:sz="6" w:val="single"/>
              <w:bottom w:color="000000" w:sz="6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  <w:vAlign w:val="center"/>
          </w:tcPr>
          <w:p w14:paraId="5B000000">
            <w:pPr>
              <w:widowControl w:val="0"/>
              <w:ind/>
              <w:jc w:val="center"/>
            </w:pPr>
            <w:r>
              <w:rPr>
                <w:rFonts w:ascii="Times New Roman" w:hAnsi="Times New Roman"/>
              </w:rPr>
              <w:t>РФ</w:t>
            </w:r>
          </w:p>
        </w:tc>
      </w:tr>
    </w:tbl>
    <w:p w14:paraId="5C000000">
      <w:pPr>
        <w:widowControl w:val="0"/>
        <w:tabs>
          <w:tab w:leader="none" w:pos="426" w:val="left"/>
        </w:tabs>
        <w:spacing w:before="240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5</w:t>
      </w:r>
      <w:r>
        <w:rPr>
          <w:rFonts w:ascii="Times New Roman" w:hAnsi="Times New Roman"/>
        </w:rPr>
        <w:t xml:space="preserve">. Согласно протоколу от  25  .06.2025 № </w:t>
      </w:r>
      <w:r>
        <w:rPr>
          <w:rFonts w:ascii="Times New Roman" w:hAnsi="Times New Roman"/>
        </w:rPr>
        <w:t>32514933225/2,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5D000000">
      <w:pPr>
        <w:widowControl w:val="0"/>
        <w:tabs>
          <w:tab w:leader="none" w:pos="426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5.1</w:t>
      </w:r>
      <w:r>
        <w:rPr>
          <w:rFonts w:ascii="Times New Roman" w:hAnsi="Times New Roman"/>
        </w:rPr>
        <w:t xml:space="preserve">.Допустить к дальнейшему участию в закупке следующих участников закупки, отвечающих требованиям закупочной </w:t>
      </w:r>
      <w:r>
        <w:rPr>
          <w:rFonts w:ascii="Times New Roman" w:hAnsi="Times New Roman"/>
        </w:rPr>
        <w:t>документации и подавших заявки на участие в закупке, отвечающие требованиям закупочной документации:</w:t>
      </w:r>
    </w:p>
    <w:p w14:paraId="5E000000">
      <w:pPr>
        <w:widowControl w:val="0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5.1.1.ООО “СИБСЕРВИСБЫТ”</w:t>
      </w:r>
    </w:p>
    <w:p w14:paraId="5F000000">
      <w:pPr>
        <w:widowControl w:val="0"/>
        <w:tabs>
          <w:tab w:leader="none" w:pos="360" w:val="left"/>
        </w:tabs>
        <w:spacing w:before="120"/>
        <w:ind/>
      </w:pPr>
      <w:r>
        <w:rPr>
          <w:rFonts w:ascii="Times New Roman" w:hAnsi="Times New Roman"/>
        </w:rPr>
        <w:t xml:space="preserve">В связи с тем, что по результатам рассмотрения заявок принято решение о допуске только одного участника закупки, в соответствии с подпунктом б) пункта 1.2 части 1 статьи 6.4 ЕОСЗ закупка признана несостоявшейся. </w:t>
      </w:r>
    </w:p>
    <w:p w14:paraId="60000000">
      <w:pPr>
        <w:pStyle w:val="Style_5"/>
        <w:widowControl w:val="0"/>
        <w:numPr>
          <w:ilvl w:val="0"/>
          <w:numId w:val="5"/>
        </w:numPr>
        <w:tabs>
          <w:tab w:leader="none" w:pos="360" w:val="left"/>
        </w:tabs>
        <w:spacing w:before="120"/>
        <w:ind w:hanging="357" w:left="357"/>
        <w:rPr>
          <w:rFonts w:ascii="Times New Roman" w:hAnsi="Times New Roman"/>
        </w:rPr>
      </w:pPr>
      <w:r>
        <w:rPr>
          <w:rFonts w:ascii="Times New Roman" w:hAnsi="Times New Roman"/>
        </w:rPr>
        <w:t>Информация о ценовом предложении участника:</w:t>
      </w:r>
    </w:p>
    <w:tbl>
      <w:tblPr>
        <w:tblStyle w:val="Style_4"/>
        <w:tblInd w:type="dxa" w:w="-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55"/>
          <w:left w:type="dxa" w:w="55"/>
          <w:bottom w:type="dxa" w:w="55"/>
          <w:right w:type="dxa" w:w="55"/>
        </w:tblCellMar>
      </w:tblPr>
      <w:tblGrid>
        <w:gridCol w:w="795"/>
        <w:gridCol w:w="4148"/>
        <w:gridCol w:w="5039"/>
      </w:tblGrid>
      <w:tr>
        <w:trPr>
          <w:trHeight w:hRule="atLeast" w:val="907"/>
        </w:trPr>
        <w:tc>
          <w:tcPr>
            <w:tcW w:type="dxa" w:w="7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61000000">
            <w:pPr>
              <w:widowControl w:val="0"/>
              <w:ind/>
              <w:jc w:val="center"/>
              <w:rPr>
                <w:sz w:val="21"/>
              </w:rPr>
            </w:pPr>
            <w:r>
              <w:rPr>
                <w:rFonts w:ascii="Times New Roman" w:hAnsi="Times New Roman"/>
                <w:sz w:val="21"/>
              </w:rPr>
              <w:t>Рег.№ заявки на ЭТП</w:t>
            </w:r>
          </w:p>
        </w:tc>
        <w:tc>
          <w:tcPr>
            <w:tcW w:type="dxa" w:w="41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62000000">
            <w:pPr>
              <w:ind/>
              <w:jc w:val="center"/>
              <w:rPr>
                <w:rFonts w:ascii="Times New Roman" w:hAnsi="Times New Roman"/>
              </w:rPr>
            </w:pPr>
          </w:p>
          <w:p w14:paraId="63000000">
            <w:pPr>
              <w:ind/>
              <w:jc w:val="center"/>
            </w:pPr>
            <w:r>
              <w:rPr>
                <w:rFonts w:ascii="Times New Roman" w:hAnsi="Times New Roman"/>
              </w:rPr>
              <w:t>Участник закупки</w:t>
            </w:r>
          </w:p>
        </w:tc>
        <w:tc>
          <w:tcPr>
            <w:tcW w:type="dxa" w:w="50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 w14:paraId="64000000">
            <w:pPr>
              <w:widowControl w:val="0"/>
              <w:tabs>
                <w:tab w:leader="none" w:pos="1134" w:val="left"/>
              </w:tabs>
              <w:ind/>
              <w:contextualSpacing w:val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 заявки на участие в закупке</w:t>
            </w:r>
          </w:p>
        </w:tc>
      </w:tr>
      <w:tr>
        <w:trPr>
          <w:trHeight w:hRule="atLeast" w:val="496"/>
        </w:trPr>
        <w:tc>
          <w:tcPr>
            <w:tcW w:type="dxa" w:w="79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65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1</w:t>
            </w:r>
          </w:p>
        </w:tc>
        <w:tc>
          <w:tcPr>
            <w:tcW w:type="dxa" w:w="414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66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ООО “СИБСЕРВИСБЫТ”</w:t>
            </w:r>
          </w:p>
          <w:p w14:paraId="67000000">
            <w:pPr>
              <w:widowControl w:val="0"/>
              <w:tabs>
                <w:tab w:leader="none" w:pos="567" w:val="left"/>
              </w:tabs>
              <w:ind w:firstLine="0"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2462026455</w:t>
            </w:r>
          </w:p>
          <w:p w14:paraId="68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660124, Россия, Красноярский край, г. Красноярск, </w:t>
            </w:r>
            <w:r>
              <w:rPr>
                <w:rFonts w:ascii="Times New Roman" w:hAnsi="Times New Roman"/>
              </w:rPr>
              <w:t>им.героя</w:t>
            </w:r>
            <w:r>
              <w:rPr>
                <w:rFonts w:ascii="Times New Roman" w:hAnsi="Times New Roman"/>
              </w:rPr>
              <w:t xml:space="preserve"> Советского Союза </w:t>
            </w:r>
            <w:r>
              <w:rPr>
                <w:rFonts w:ascii="Times New Roman" w:hAnsi="Times New Roman"/>
              </w:rPr>
              <w:t>И.А.Борисевича</w:t>
            </w:r>
            <w:r>
              <w:rPr>
                <w:rFonts w:ascii="Times New Roman" w:hAnsi="Times New Roman"/>
              </w:rPr>
              <w:t>, 22</w:t>
            </w:r>
          </w:p>
        </w:tc>
        <w:tc>
          <w:tcPr>
            <w:tcW w:type="dxa" w:w="50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69000000">
            <w:pPr>
              <w:pStyle w:val="Style_6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 единицу каждой услуги приведена в </w:t>
            </w:r>
            <w:r>
              <w:rPr>
                <w:rFonts w:ascii="Times New Roman" w:hAnsi="Times New Roman"/>
              </w:rPr>
              <w:t>Приложении №1 к настоящему протоколу.</w:t>
            </w:r>
          </w:p>
          <w:p w14:paraId="6A000000">
            <w:pPr>
              <w:pStyle w:val="Style_6"/>
              <w:ind/>
              <w:jc w:val="left"/>
              <w:rPr>
                <w:rFonts w:ascii="Times New Roman" w:hAnsi="Times New Roman"/>
              </w:rPr>
            </w:pPr>
          </w:p>
        </w:tc>
      </w:tr>
      <w:tr>
        <w:trPr>
          <w:trHeight w:hRule="atLeast" w:val="496"/>
        </w:trPr>
        <w:tc>
          <w:tcPr>
            <w:tcW w:type="dxa" w:w="79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/>
        </w:tc>
        <w:tc>
          <w:tcPr>
            <w:tcW w:type="dxa" w:w="414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/>
        </w:tc>
        <w:tc>
          <w:tcPr>
            <w:tcW w:type="dxa" w:w="50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6B000000">
            <w:pPr>
              <w:pStyle w:val="Style_6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Дата и время регистрации заявки:</w:t>
            </w:r>
          </w:p>
          <w:p w14:paraId="6C000000">
            <w:pPr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«18» июня 2025 года </w:t>
            </w:r>
          </w:p>
          <w:p w14:paraId="6D000000">
            <w:pPr>
              <w:pStyle w:val="Style_6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22:16  (время московское)</w:t>
            </w:r>
          </w:p>
        </w:tc>
      </w:tr>
    </w:tbl>
    <w:p w14:paraId="6E000000">
      <w:pPr>
        <w:widowControl w:val="0"/>
        <w:tabs>
          <w:tab w:leader="none" w:pos="360" w:val="left"/>
        </w:tabs>
        <w:spacing w:before="120"/>
        <w:ind/>
        <w:rPr>
          <w:rFonts w:ascii="Times New Roman" w:hAnsi="Times New Roman"/>
        </w:rPr>
      </w:pPr>
    </w:p>
    <w:p w14:paraId="6F000000">
      <w:pPr>
        <w:widowControl w:val="0"/>
        <w:numPr>
          <w:ilvl w:val="0"/>
          <w:numId w:val="5"/>
        </w:numPr>
        <w:tabs>
          <w:tab w:leader="none" w:pos="360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Заказчиком принято решение о заключении договора с единственным участником закупки </w:t>
      </w:r>
      <w:r>
        <w:rPr>
          <w:rFonts w:ascii="Times New Roman" w:hAnsi="Times New Roman"/>
          <w:b w:val="1"/>
        </w:rPr>
        <w:t xml:space="preserve">ООО “СИБСЕРВИСБЫТ” </w:t>
      </w:r>
      <w:r>
        <w:rPr>
          <w:rFonts w:ascii="Times New Roman" w:hAnsi="Times New Roman"/>
        </w:rPr>
        <w:t xml:space="preserve">ИНН 2462026455 (660124, Россия, Красноярский край, г. Красноярск, </w:t>
      </w:r>
      <w:r>
        <w:rPr>
          <w:rFonts w:ascii="Times New Roman" w:hAnsi="Times New Roman"/>
        </w:rPr>
        <w:t>им.героя</w:t>
      </w:r>
      <w:r>
        <w:rPr>
          <w:rFonts w:ascii="Times New Roman" w:hAnsi="Times New Roman"/>
        </w:rPr>
        <w:t xml:space="preserve"> Советского Союза </w:t>
      </w:r>
      <w:r>
        <w:rPr>
          <w:rFonts w:ascii="Times New Roman" w:hAnsi="Times New Roman"/>
        </w:rPr>
        <w:t>И.А.Борисевича</w:t>
      </w:r>
      <w:r>
        <w:rPr>
          <w:rFonts w:ascii="Times New Roman" w:hAnsi="Times New Roman"/>
        </w:rPr>
        <w:t>, 22) с ценами за единицу каждой услуги, указанными в приложении 1 к протоколу № 32514933225/3</w:t>
      </w:r>
      <w:r>
        <w:br w:type="page"/>
      </w:r>
    </w:p>
    <w:p w14:paraId="70000000">
      <w:pPr>
        <w:widowControl w:val="0"/>
        <w:spacing w:before="120"/>
        <w:ind w:hanging="142" w:left="426"/>
        <w:rPr>
          <w:rFonts w:ascii="Times New Roman" w:hAnsi="Times New Roman"/>
          <w:b w:val="1"/>
          <w:sz w:val="20"/>
          <w:u w:val="single"/>
        </w:rPr>
      </w:pPr>
      <w:r>
        <w:rPr>
          <w:rFonts w:ascii="Times New Roman" w:hAnsi="Times New Roman"/>
          <w:b w:val="1"/>
          <w:sz w:val="20"/>
          <w:u w:val="single"/>
        </w:rPr>
        <w:t xml:space="preserve">Закупочная комиссия: </w:t>
      </w:r>
    </w:p>
    <w:p w14:paraId="71000000">
      <w:pPr>
        <w:ind w:firstLine="0" w:left="28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Член закупочной комиссии, подпис</w:t>
      </w:r>
      <w:r>
        <w:rPr>
          <w:rFonts w:ascii="Times New Roman" w:hAnsi="Times New Roman"/>
          <w:sz w:val="20"/>
        </w:rPr>
        <w:t>авший настоящий протокол, руководствуясь положением о закупочной комиссии (Приложение 4 ЕОСЗ):</w:t>
      </w:r>
    </w:p>
    <w:p w14:paraId="72000000">
      <w:pPr>
        <w:numPr>
          <w:ilvl w:val="0"/>
          <w:numId w:val="6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подтверждает объективность принимаемых решений;</w:t>
      </w:r>
    </w:p>
    <w:p w14:paraId="73000000">
      <w:pPr>
        <w:numPr>
          <w:ilvl w:val="0"/>
          <w:numId w:val="6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заявляет об отсутствии личной заинтересованности в исходе закупки;</w:t>
      </w:r>
    </w:p>
    <w:p w14:paraId="74000000">
      <w:pPr>
        <w:numPr>
          <w:ilvl w:val="0"/>
          <w:numId w:val="6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принимает на себя обязательства:</w:t>
      </w:r>
    </w:p>
    <w:p w14:paraId="75000000">
      <w:pPr>
        <w:numPr>
          <w:ilvl w:val="0"/>
          <w:numId w:val="6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не допускать </w:t>
      </w:r>
      <w:r>
        <w:rPr>
          <w:rFonts w:ascii="Times New Roman" w:hAnsi="Times New Roman"/>
          <w:sz w:val="20"/>
        </w:rPr>
        <w:t>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</w:t>
      </w:r>
      <w:r>
        <w:rPr>
          <w:rFonts w:ascii="Times New Roman" w:hAnsi="Times New Roman"/>
          <w:sz w:val="20"/>
        </w:rPr>
        <w:t>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</w:t>
      </w:r>
      <w:r>
        <w:rPr>
          <w:rFonts w:ascii="Times New Roman" w:hAnsi="Times New Roman"/>
          <w:sz w:val="20"/>
        </w:rPr>
        <w:t>окументацией;</w:t>
      </w:r>
    </w:p>
    <w:p w14:paraId="76000000">
      <w:pPr>
        <w:numPr>
          <w:ilvl w:val="0"/>
          <w:numId w:val="6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77000000">
      <w:pPr>
        <w:numPr>
          <w:ilvl w:val="0"/>
          <w:numId w:val="6"/>
        </w:numPr>
        <w:ind w:firstLine="284" w:left="0"/>
        <w:rPr>
          <w:sz w:val="20"/>
        </w:rPr>
      </w:pPr>
      <w:r>
        <w:rPr>
          <w:rFonts w:ascii="Times New Roman" w:hAnsi="Times New Roman"/>
          <w:sz w:val="20"/>
        </w:rPr>
        <w:t>не проводить переговоров с участниками закупки по вопросам, относящимся</w:t>
      </w:r>
      <w:r>
        <w:rPr>
          <w:rFonts w:ascii="Times New Roman" w:hAnsi="Times New Roman"/>
          <w:sz w:val="20"/>
        </w:rPr>
        <w:t xml:space="preserve"> к проводимой закупке, кроме случаев, прямо предусмотренных условиями проведения закупки.</w:t>
      </w:r>
    </w:p>
    <w:tbl>
      <w:tblPr>
        <w:tblStyle w:val="Style_4"/>
        <w:tblLayout w:type="fixed"/>
        <w:tblCellMar>
          <w:left w:type="dxa" w:w="5"/>
          <w:right w:type="dxa" w:w="5"/>
        </w:tblCellMar>
      </w:tblPr>
      <w:tblGrid>
        <w:gridCol w:w="2500"/>
        <w:gridCol w:w="5554"/>
        <w:gridCol w:w="1981"/>
      </w:tblGrid>
      <w:t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8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ФИО </w:t>
            </w: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9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Должность 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A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Подпись </w:t>
            </w:r>
          </w:p>
        </w:tc>
      </w:tr>
      <w:tr>
        <w:tc>
          <w:tcPr>
            <w:tcW w:type="dxa" w:w="100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B000000">
            <w:pPr>
              <w:widowControl w:val="0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Председатель закупочной комиссии: </w:t>
            </w: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C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А.Ю. Марков</w:t>
            </w: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D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генерального директора предприятия по материально-техническому снабжению и </w:t>
            </w:r>
            <w:r>
              <w:rPr>
                <w:rFonts w:ascii="Times New Roman" w:hAnsi="Times New Roman"/>
              </w:rPr>
              <w:t>комплектации оборудования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7E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00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F000000">
            <w:pPr>
              <w:widowControl w:val="0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Члены закупочной комиссии: </w:t>
            </w: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0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1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2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3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4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5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6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7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8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9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A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B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C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D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E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F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0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91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2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3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94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5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6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97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8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9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9A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B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C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9D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E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F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A0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00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A1000000">
            <w:pPr>
              <w:widowControl w:val="0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Секретарь закупочной комиссии (с </w:t>
            </w:r>
            <w:r>
              <w:rPr>
                <w:rFonts w:ascii="Times New Roman" w:hAnsi="Times New Roman"/>
                <w:b w:val="1"/>
                <w:i w:val="1"/>
              </w:rPr>
              <w:t>правом голоса</w:t>
            </w:r>
            <w:r>
              <w:rPr>
                <w:rFonts w:ascii="Times New Roman" w:hAnsi="Times New Roman"/>
                <w:b w:val="1"/>
              </w:rPr>
              <w:t xml:space="preserve">): </w:t>
            </w:r>
          </w:p>
        </w:tc>
      </w:tr>
      <w:tr>
        <w:trPr>
          <w:trHeight w:hRule="atLeast" w:val="56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A2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А.Л. Лебедева</w:t>
            </w:r>
          </w:p>
        </w:tc>
        <w:tc>
          <w:tcPr>
            <w:tcW w:type="dxa" w:w="55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A3000000">
            <w:pPr>
              <w:widowControl w:val="0"/>
              <w:ind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</w:rPr>
              <w:t xml:space="preserve">Эксперт по закупкам группы сопровождения закупочных процедур (собственные и внебюджетные </w:t>
            </w:r>
            <w:r>
              <w:rPr>
                <w:rFonts w:ascii="Times New Roman" w:hAnsi="Times New Roman"/>
              </w:rPr>
              <w:t>средства) отдела закупок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A4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</w:tbl>
    <w:p w14:paraId="A5000000">
      <w:pPr>
        <w:widowControl w:val="0"/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Проверено: Юрисконсульт ОЗ______________________Н.Н. </w:t>
      </w:r>
      <w:r>
        <w:rPr>
          <w:rFonts w:ascii="Times New Roman" w:hAnsi="Times New Roman"/>
        </w:rPr>
        <w:t>Ридфинс</w:t>
      </w:r>
    </w:p>
    <w:p w14:paraId="A6000000">
      <w:pPr>
        <w:widowControl w:val="0"/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Исполнитель: Специалист ОЗ ______________________</w:t>
      </w:r>
      <w:r>
        <w:rPr>
          <w:rFonts w:ascii="Times New Roman" w:hAnsi="Times New Roman"/>
        </w:rPr>
        <w:t>Ю.В.Зернова</w:t>
      </w:r>
    </w:p>
    <w:p w14:paraId="A7000000">
      <w:pPr>
        <w:keepLines w:val="0"/>
        <w:widowControl w:val="0"/>
        <w:ind/>
        <w:rPr>
          <w:rFonts w:ascii="Times New Roman" w:hAnsi="Times New Roman"/>
          <w:b w:val="1"/>
        </w:rPr>
      </w:pPr>
      <w:r>
        <w:br w:type="page"/>
      </w:r>
    </w:p>
    <w:p w14:paraId="A8000000">
      <w:pPr>
        <w:widowControl w:val="0"/>
        <w:ind/>
        <w:jc w:val="right"/>
      </w:pPr>
      <w:r>
        <w:rPr>
          <w:rFonts w:ascii="Times New Roman" w:hAnsi="Times New Roman"/>
          <w:b w:val="1"/>
        </w:rPr>
        <w:t>Приложение №1 к протоколу№ 32514933225/3</w:t>
      </w:r>
    </w:p>
    <w:tbl>
      <w:tblPr>
        <w:tblStyle w:val="Style_4"/>
        <w:tblInd w:type="dxa" w:w="-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55"/>
          <w:left w:type="dxa" w:w="55"/>
          <w:bottom w:type="dxa" w:w="55"/>
          <w:right w:type="dxa" w:w="55"/>
        </w:tblCellMar>
      </w:tblPr>
      <w:tblGrid>
        <w:gridCol w:w="794"/>
        <w:gridCol w:w="2722"/>
        <w:gridCol w:w="4907"/>
        <w:gridCol w:w="1616"/>
      </w:tblGrid>
      <w:tr>
        <w:trPr>
          <w:trHeight w:hRule="atLeast" w:val="907"/>
        </w:trPr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A9000000">
            <w:pPr>
              <w:widowControl w:val="0"/>
              <w:ind/>
              <w:jc w:val="center"/>
              <w:rPr>
                <w:sz w:val="21"/>
              </w:rPr>
            </w:pPr>
            <w:r>
              <w:rPr>
                <w:rFonts w:ascii="Times New Roman" w:hAnsi="Times New Roman"/>
                <w:sz w:val="21"/>
              </w:rPr>
              <w:t>№ п/п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 w14:paraId="AA000000">
            <w:pPr>
              <w:widowControl w:val="0"/>
              <w:ind/>
              <w:jc w:val="center"/>
              <w:rPr>
                <w:sz w:val="21"/>
              </w:rPr>
            </w:pPr>
            <w:r>
              <w:rPr>
                <w:rFonts w:ascii="Times New Roman" w:hAnsi="Times New Roman"/>
                <w:sz w:val="21"/>
              </w:rPr>
              <w:t>Участник закупки</w:t>
            </w:r>
          </w:p>
        </w:tc>
        <w:tc>
          <w:tcPr>
            <w:tcW w:type="dxa" w:w="49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 w14:paraId="AB000000">
            <w:pPr>
              <w:widowControl w:val="0"/>
              <w:tabs>
                <w:tab w:leader="none" w:pos="1134" w:val="left"/>
              </w:tabs>
              <w:ind/>
              <w:contextualSpacing w:val="1"/>
              <w:jc w:val="center"/>
              <w:rPr>
                <w:sz w:val="21"/>
              </w:rPr>
            </w:pPr>
            <w:r>
              <w:rPr>
                <w:rFonts w:ascii="XO Thames" w:hAnsi="XO Thames"/>
                <w:sz w:val="21"/>
              </w:rPr>
              <w:t>Наименование услуги</w:t>
            </w:r>
          </w:p>
        </w:tc>
        <w:tc>
          <w:tcPr>
            <w:tcW w:type="dxa" w:w="1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AC000000">
            <w:pPr>
              <w:widowControl w:val="0"/>
              <w:ind/>
              <w:jc w:val="center"/>
            </w:pPr>
            <w:r>
              <w:rPr>
                <w:rFonts w:ascii="Times New Roman" w:hAnsi="Times New Roman"/>
                <w:sz w:val="21"/>
              </w:rPr>
              <w:t>Цена за единицу без Н</w:t>
            </w:r>
            <w:r>
              <w:rPr>
                <w:rFonts w:ascii="Times New Roman" w:hAnsi="Times New Roman"/>
                <w:sz w:val="21"/>
              </w:rPr>
              <w:t>ДС</w:t>
            </w:r>
          </w:p>
        </w:tc>
      </w:tr>
      <w:tr>
        <w:trPr>
          <w:trHeight w:hRule="atLeast" w:val="496"/>
        </w:trPr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AD000000">
            <w:pPr>
              <w:widowControl w:val="0"/>
              <w:ind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 xml:space="preserve"> </w:t>
            </w:r>
            <w:bookmarkStart w:id="2" w:name="_GoBack"/>
            <w:bookmarkEnd w:id="2"/>
            <w:r>
              <w:rPr>
                <w:rFonts w:ascii="Times New Roman" w:hAnsi="Times New Roman"/>
                <w:sz w:val="21"/>
              </w:rPr>
              <w:t>1.</w:t>
            </w:r>
          </w:p>
        </w:tc>
        <w:tc>
          <w:tcPr>
            <w:tcW w:type="dxa" w:w="272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AE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ООО “СИБСЕРВИСБЫТ”</w:t>
            </w:r>
          </w:p>
          <w:p w14:paraId="AF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2462026455</w:t>
            </w:r>
          </w:p>
          <w:p w14:paraId="B0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660124, Россия, Красноярский край, г. Красноярск, </w:t>
            </w:r>
            <w:r>
              <w:rPr>
                <w:rFonts w:ascii="Times New Roman" w:hAnsi="Times New Roman"/>
              </w:rPr>
              <w:t>им.героя</w:t>
            </w:r>
            <w:r>
              <w:rPr>
                <w:rFonts w:ascii="Times New Roman" w:hAnsi="Times New Roman"/>
              </w:rPr>
              <w:t xml:space="preserve"> Советского Союза </w:t>
            </w:r>
            <w:r>
              <w:rPr>
                <w:rFonts w:ascii="Times New Roman" w:hAnsi="Times New Roman"/>
              </w:rPr>
              <w:t>И.А.Борисевича</w:t>
            </w:r>
            <w:r>
              <w:rPr>
                <w:rFonts w:ascii="Times New Roman" w:hAnsi="Times New Roman"/>
              </w:rPr>
              <w:t>, 22</w:t>
            </w:r>
          </w:p>
        </w:tc>
        <w:tc>
          <w:tcPr>
            <w:tcW w:type="dxa" w:w="49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B1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белья</w:t>
            </w:r>
          </w:p>
        </w:tc>
        <w:tc>
          <w:tcPr>
            <w:tcW w:type="dxa" w:w="1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B2000000">
            <w:pPr>
              <w:pStyle w:val="Style_6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68,00</w:t>
            </w:r>
          </w:p>
        </w:tc>
      </w:tr>
      <w:tr>
        <w:trPr>
          <w:trHeight w:hRule="atLeast" w:val="496"/>
        </w:trPr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B3000000">
            <w:pPr>
              <w:widowControl w:val="0"/>
              <w:tabs>
                <w:tab w:leader="none" w:pos="927" w:val="left"/>
              </w:tabs>
              <w:ind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 xml:space="preserve"> </w:t>
            </w:r>
            <w:r>
              <w:rPr>
                <w:rFonts w:ascii="Times New Roman" w:hAnsi="Times New Roman"/>
                <w:sz w:val="21"/>
              </w:rPr>
              <w:t>2.</w:t>
            </w:r>
          </w:p>
        </w:tc>
        <w:tc>
          <w:tcPr>
            <w:tcW w:type="dxa" w:w="272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/>
        </w:tc>
        <w:tc>
          <w:tcPr>
            <w:tcW w:type="dxa" w:w="49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B4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штор, портьер, тюля</w:t>
            </w:r>
          </w:p>
        </w:tc>
        <w:tc>
          <w:tcPr>
            <w:tcW w:type="dxa" w:w="1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B5000000">
            <w:pPr>
              <w:pStyle w:val="Style_6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68,00</w:t>
            </w:r>
          </w:p>
          <w:p w14:paraId="B6000000">
            <w:pPr>
              <w:pStyle w:val="Style_6"/>
              <w:rPr>
                <w:rFonts w:ascii="Times New Roman" w:hAnsi="Times New Roman"/>
              </w:rPr>
            </w:pPr>
          </w:p>
        </w:tc>
      </w:tr>
      <w:tr>
        <w:trPr>
          <w:trHeight w:hRule="atLeast" w:val="496"/>
        </w:trPr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B7000000">
            <w:pPr>
              <w:widowControl w:val="0"/>
              <w:tabs>
                <w:tab w:leader="none" w:pos="927" w:val="left"/>
              </w:tabs>
              <w:ind w:firstLine="0" w:left="927"/>
              <w:rPr>
                <w:rFonts w:ascii="Times New Roman" w:hAnsi="Times New Roman"/>
                <w:sz w:val="21"/>
              </w:rPr>
            </w:pPr>
          </w:p>
          <w:p w14:paraId="B8000000">
            <w:pPr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 xml:space="preserve"> </w:t>
            </w:r>
            <w:r>
              <w:rPr>
                <w:rFonts w:ascii="Times New Roman" w:hAnsi="Times New Roman"/>
                <w:sz w:val="21"/>
              </w:rPr>
              <w:t>3.</w:t>
            </w:r>
          </w:p>
        </w:tc>
        <w:tc>
          <w:tcPr>
            <w:tcW w:type="dxa" w:w="272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/>
        </w:tc>
        <w:tc>
          <w:tcPr>
            <w:tcW w:type="dxa" w:w="49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B9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Оказание услуг </w:t>
            </w:r>
            <w:r>
              <w:rPr>
                <w:rFonts w:ascii="Times New Roman" w:hAnsi="Times New Roman"/>
              </w:rPr>
              <w:t>по стирке одеял, покрывал</w:t>
            </w:r>
          </w:p>
        </w:tc>
        <w:tc>
          <w:tcPr>
            <w:tcW w:type="dxa" w:w="1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BA000000">
            <w:pPr>
              <w:pStyle w:val="Style_6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68,00</w:t>
            </w:r>
          </w:p>
        </w:tc>
      </w:tr>
      <w:tr>
        <w:trPr>
          <w:trHeight w:hRule="atLeast" w:val="496"/>
        </w:trPr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BB000000">
            <w:pPr>
              <w:widowControl w:val="0"/>
              <w:tabs>
                <w:tab w:leader="none" w:pos="927" w:val="left"/>
              </w:tabs>
              <w:ind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4.</w:t>
            </w:r>
          </w:p>
        </w:tc>
        <w:tc>
          <w:tcPr>
            <w:tcW w:type="dxa" w:w="272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/>
        </w:tc>
        <w:tc>
          <w:tcPr>
            <w:tcW w:type="dxa" w:w="49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BC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салфеток</w:t>
            </w:r>
          </w:p>
        </w:tc>
        <w:tc>
          <w:tcPr>
            <w:tcW w:type="dxa" w:w="1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BD000000">
            <w:pPr>
              <w:pStyle w:val="Style_6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68,00</w:t>
            </w:r>
          </w:p>
        </w:tc>
      </w:tr>
      <w:tr>
        <w:trPr>
          <w:trHeight w:hRule="atLeast" w:val="496"/>
        </w:trPr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BE000000">
            <w:pPr>
              <w:widowControl w:val="0"/>
              <w:tabs>
                <w:tab w:leader="none" w:pos="927" w:val="left"/>
              </w:tabs>
              <w:ind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5.</w:t>
            </w:r>
          </w:p>
        </w:tc>
        <w:tc>
          <w:tcPr>
            <w:tcW w:type="dxa" w:w="272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/>
        </w:tc>
        <w:tc>
          <w:tcPr>
            <w:tcW w:type="dxa" w:w="49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BF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скатертей</w:t>
            </w:r>
          </w:p>
        </w:tc>
        <w:tc>
          <w:tcPr>
            <w:tcW w:type="dxa" w:w="1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0000000">
            <w:pPr>
              <w:pStyle w:val="Style_6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68,00</w:t>
            </w:r>
          </w:p>
        </w:tc>
      </w:tr>
      <w:tr>
        <w:trPr>
          <w:trHeight w:hRule="atLeast" w:val="496"/>
        </w:trPr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1000000">
            <w:pPr>
              <w:widowControl w:val="0"/>
              <w:tabs>
                <w:tab w:leader="none" w:pos="927" w:val="left"/>
              </w:tabs>
              <w:ind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6.</w:t>
            </w:r>
          </w:p>
        </w:tc>
        <w:tc>
          <w:tcPr>
            <w:tcW w:type="dxa" w:w="272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/>
        </w:tc>
        <w:tc>
          <w:tcPr>
            <w:tcW w:type="dxa" w:w="49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2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камерной дезинфекции белья</w:t>
            </w:r>
          </w:p>
        </w:tc>
        <w:tc>
          <w:tcPr>
            <w:tcW w:type="dxa" w:w="1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3000000">
            <w:pPr>
              <w:pStyle w:val="Style_6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140,00</w:t>
            </w:r>
          </w:p>
        </w:tc>
      </w:tr>
      <w:tr>
        <w:trPr>
          <w:trHeight w:hRule="atLeast" w:val="496"/>
        </w:trPr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4000000">
            <w:pPr>
              <w:widowControl w:val="0"/>
              <w:tabs>
                <w:tab w:leader="none" w:pos="927" w:val="left"/>
              </w:tabs>
              <w:ind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7.</w:t>
            </w:r>
          </w:p>
        </w:tc>
        <w:tc>
          <w:tcPr>
            <w:tcW w:type="dxa" w:w="272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/>
        </w:tc>
        <w:tc>
          <w:tcPr>
            <w:tcW w:type="dxa" w:w="49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5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дезинфекции камерной подушек</w:t>
            </w:r>
          </w:p>
        </w:tc>
        <w:tc>
          <w:tcPr>
            <w:tcW w:type="dxa" w:w="1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6000000">
            <w:pPr>
              <w:pStyle w:val="Style_6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140,00</w:t>
            </w:r>
          </w:p>
        </w:tc>
      </w:tr>
      <w:tr>
        <w:trPr>
          <w:trHeight w:hRule="atLeast" w:val="496"/>
        </w:trPr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7000000">
            <w:pPr>
              <w:widowControl w:val="0"/>
              <w:tabs>
                <w:tab w:leader="none" w:pos="927" w:val="left"/>
              </w:tabs>
              <w:ind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8.</w:t>
            </w:r>
          </w:p>
        </w:tc>
        <w:tc>
          <w:tcPr>
            <w:tcW w:type="dxa" w:w="272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/>
        </w:tc>
        <w:tc>
          <w:tcPr>
            <w:tcW w:type="dxa" w:w="49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8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Оказание услуг по </w:t>
            </w:r>
            <w:r>
              <w:rPr>
                <w:rFonts w:ascii="Times New Roman" w:hAnsi="Times New Roman"/>
              </w:rPr>
              <w:t>дезинфекции камерной одеял</w:t>
            </w:r>
          </w:p>
        </w:tc>
        <w:tc>
          <w:tcPr>
            <w:tcW w:type="dxa" w:w="1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9000000">
            <w:pPr>
              <w:pStyle w:val="Style_6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140,00</w:t>
            </w:r>
          </w:p>
        </w:tc>
      </w:tr>
      <w:tr>
        <w:trPr>
          <w:trHeight w:hRule="atLeast" w:val="496"/>
        </w:trPr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A000000">
            <w:pPr>
              <w:widowControl w:val="0"/>
              <w:tabs>
                <w:tab w:leader="none" w:pos="927" w:val="left"/>
              </w:tabs>
              <w:ind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9.</w:t>
            </w:r>
          </w:p>
        </w:tc>
        <w:tc>
          <w:tcPr>
            <w:tcW w:type="dxa" w:w="272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/>
        </w:tc>
        <w:tc>
          <w:tcPr>
            <w:tcW w:type="dxa" w:w="49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B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химической стирке ковровых изделий</w:t>
            </w:r>
          </w:p>
        </w:tc>
        <w:tc>
          <w:tcPr>
            <w:tcW w:type="dxa" w:w="1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108"/>
              <w:bottom w:type="dxa" w:w="55"/>
              <w:right w:type="dxa" w:w="108"/>
            </w:tcMar>
          </w:tcPr>
          <w:p w14:paraId="CC000000">
            <w:pPr>
              <w:pStyle w:val="Style_6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258,00</w:t>
            </w:r>
          </w:p>
        </w:tc>
      </w:tr>
    </w:tbl>
    <w:p w14:paraId="CD000000"/>
    <w:sectPr>
      <w:footerReference r:id="rId1" w:type="default"/>
      <w:pgSz w:h="16838" w:orient="portrait" w:w="11906"/>
      <w:pgMar w:bottom="524" w:footer="467" w:gutter="0" w:header="0" w:left="1134" w:right="73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tabs>
        <w:tab w:leader="none" w:pos="5017" w:val="center"/>
      </w:tabs>
      <w:ind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ПРОТОКОЛ № 32514933225/3</w:t>
    </w:r>
  </w:p>
  <w:p w14:paraId="02000000">
    <w:pPr>
      <w:widowControl w:val="0"/>
      <w:tabs>
        <w:tab w:leader="none" w:pos="5017" w:val="center"/>
      </w:tabs>
      <w:ind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заседания закупочной комиссии по подведению итогов закупки </w:t>
    </w:r>
    <w:r>
      <w:rPr>
        <w:rFonts w:ascii="Times New Roman" w:hAnsi="Times New Roman"/>
        <w:sz w:val="16"/>
      </w:rPr>
      <w:t>(итоговый протокол) открытого запроса предложений в электронной форме без предварительного квалификационного отбора на право заключения договора на оказание услуг по стирке, дезинфекции камерной, химической чистке белья и прочих изделий для ООО "С/п Юбилей</w:t>
    </w:r>
    <w:r>
      <w:rPr>
        <w:rFonts w:ascii="Times New Roman" w:hAnsi="Times New Roman"/>
        <w:sz w:val="16"/>
      </w:rPr>
      <w:t>ный ГХК"</w:t>
    </w:r>
  </w:p>
  <w:p w14:paraId="03000000">
    <w:pPr>
      <w:widowControl w:val="0"/>
      <w:tabs>
        <w:tab w:leader="none" w:pos="5017" w:val="center"/>
      </w:tabs>
      <w:ind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dirty="1"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dirty="1"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>5</w:t>
    </w:r>
    <w:r>
      <w:rPr>
        <w:rFonts w:ascii="Times New Roman" w:hAnsi="Times New Roman"/>
        <w:sz w:val="16"/>
      </w:rPr>
      <w:fldChar w:fldCharType="end"/>
    </w: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080" w:val="left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leader="none" w:pos="1440" w:val="left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leader="none" w:pos="1800" w:val="left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leader="none" w:pos="2160" w:val="left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leader="none" w:pos="2520" w:val="left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leader="none" w:pos="2880" w:val="left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leader="none" w:pos="3240" w:val="left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leader="none" w:pos="3600" w:val="left"/>
        </w:tabs>
        <w:ind w:hanging="360" w:left="3600"/>
      </w:pPr>
    </w:lvl>
  </w:abstractNum>
  <w:abstractNum w:abstractNumId="1">
    <w:lvl w:ilvl="0">
      <w:start w:val="1"/>
      <w:numFmt w:val="decimal"/>
      <w:lvlText w:val="%1."/>
      <w:lvlJc w:val="left"/>
      <w:pPr>
        <w:tabs>
          <w:tab w:leader="none" w:pos="0" w:val="left"/>
        </w:tabs>
        <w:ind w:hanging="360" w:left="720"/>
      </w:pPr>
      <w:rPr>
        <w:b w:val="1"/>
      </w:rPr>
    </w:lvl>
    <w:lvl w:ilvl="1">
      <w:start w:val="1"/>
      <w:numFmt w:val="lowerLetter"/>
      <w:lvlText w:val="%2."/>
      <w:lvlJc w:val="left"/>
      <w:pPr>
        <w:tabs>
          <w:tab w:leader="none" w:pos="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leader="none" w:pos="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leader="none" w:pos="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leader="none" w:pos="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leader="none" w:pos="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leader="none" w:pos="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leader="none" w:pos="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leader="none" w:pos="0" w:val="left"/>
        </w:tabs>
        <w:ind w:hanging="180" w:left="648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leader="none" w:pos="0" w:val="left"/>
        </w:tabs>
        <w:ind w:hanging="360" w:left="720"/>
      </w:pPr>
      <w:rPr>
        <w:b w:val="1"/>
      </w:rPr>
    </w:lvl>
    <w:lvl w:ilvl="1">
      <w:start w:val="1"/>
      <w:numFmt w:val="decimal"/>
      <w:lvlText w:val="%1.%2."/>
      <w:lvlJc w:val="left"/>
      <w:pPr>
        <w:tabs>
          <w:tab w:leader="none" w:pos="0" w:val="left"/>
        </w:tabs>
        <w:ind w:hanging="720" w:left="1571"/>
      </w:pPr>
      <w:rPr>
        <w:b w:val="1"/>
      </w:rPr>
    </w:lvl>
    <w:lvl w:ilvl="2">
      <w:start w:val="1"/>
      <w:numFmt w:val="decimal"/>
      <w:lvlText w:val="%1.%2.%3."/>
      <w:lvlJc w:val="left"/>
      <w:pPr>
        <w:tabs>
          <w:tab w:leader="none" w:pos="0" w:val="left"/>
        </w:tabs>
        <w:ind w:hanging="720" w:left="1288"/>
      </w:pPr>
      <w:rPr>
        <w:rFonts w:ascii="Times New Roman" w:hAnsi="Times New Roman"/>
        <w:b w:val="1"/>
      </w:rPr>
    </w:lvl>
    <w:lvl w:ilvl="3">
      <w:start w:val="1"/>
      <w:numFmt w:val="decimal"/>
      <w:lvlText w:val="%1.%2.%3.%4."/>
      <w:lvlJc w:val="left"/>
      <w:pPr>
        <w:tabs>
          <w:tab w:leader="none" w:pos="0" w:val="left"/>
        </w:tabs>
        <w:ind w:hanging="1080" w:left="2913"/>
      </w:pPr>
    </w:lvl>
    <w:lvl w:ilvl="4">
      <w:start w:val="1"/>
      <w:numFmt w:val="decimal"/>
      <w:lvlText w:val="%1.%2.%3.%4.%5."/>
      <w:lvlJc w:val="left"/>
      <w:pPr>
        <w:tabs>
          <w:tab w:leader="none" w:pos="0" w:val="left"/>
        </w:tabs>
        <w:ind w:hanging="1080" w:left="3404"/>
      </w:pPr>
    </w:lvl>
    <w:lvl w:ilvl="5">
      <w:start w:val="1"/>
      <w:numFmt w:val="decimal"/>
      <w:lvlText w:val="%1.%2.%3.%4.%5.%6."/>
      <w:lvlJc w:val="left"/>
      <w:pPr>
        <w:tabs>
          <w:tab w:leader="none" w:pos="0" w:val="left"/>
        </w:tabs>
        <w:ind w:hanging="1440" w:left="4255"/>
      </w:pPr>
    </w:lvl>
    <w:lvl w:ilvl="6">
      <w:start w:val="1"/>
      <w:numFmt w:val="decimal"/>
      <w:lvlText w:val="%1.%2.%3.%4.%5.%6.%7."/>
      <w:lvlJc w:val="left"/>
      <w:pPr>
        <w:tabs>
          <w:tab w:leader="none" w:pos="0" w:val="left"/>
        </w:tabs>
        <w:ind w:hanging="1440" w:left="4746"/>
      </w:pPr>
    </w:lvl>
    <w:lvl w:ilvl="7">
      <w:start w:val="1"/>
      <w:numFmt w:val="decimal"/>
      <w:lvlText w:val="%1.%2.%3.%4.%5.%6.%7.%8."/>
      <w:lvlJc w:val="left"/>
      <w:pPr>
        <w:tabs>
          <w:tab w:leader="none" w:pos="0" w:val="left"/>
        </w:tabs>
        <w:ind w:hanging="1800" w:left="5597"/>
      </w:pPr>
    </w:lvl>
    <w:lvl w:ilvl="8">
      <w:start w:val="1"/>
      <w:numFmt w:val="decimal"/>
      <w:lvlText w:val="%1.%2.%3.%4.%5.%6.%7.%8.%9."/>
      <w:lvlJc w:val="left"/>
      <w:pPr>
        <w:tabs>
          <w:tab w:leader="none" w:pos="0" w:val="left"/>
        </w:tabs>
        <w:ind w:hanging="1800" w:left="6088"/>
      </w:pPr>
    </w:lvl>
  </w:abstractNum>
  <w:abstractNum w:abstractNumId="3">
    <w:lvl w:ilvl="0">
      <w:start w:val="3"/>
      <w:numFmt w:val="decimal"/>
      <w:lvlText w:val="%1."/>
      <w:lvlJc w:val="left"/>
      <w:pPr>
        <w:ind w:hanging="360" w:left="501"/>
      </w:pPr>
      <w:rPr>
        <w:b w:val="1"/>
      </w:rPr>
    </w:lvl>
    <w:lvl w:ilvl="1">
      <w:start w:val="1"/>
      <w:numFmt w:val="decimal"/>
      <w:lvlText w:val="%1.%2."/>
      <w:lvlJc w:val="left"/>
      <w:pPr>
        <w:tabs>
          <w:tab w:leader="none" w:pos="0" w:val="left"/>
        </w:tabs>
        <w:ind w:hanging="720" w:left="1571"/>
      </w:pPr>
      <w:rPr>
        <w:b w:val="1"/>
      </w:rPr>
    </w:lvl>
    <w:lvl w:ilvl="2">
      <w:start w:val="1"/>
      <w:numFmt w:val="decimal"/>
      <w:lvlText w:val="%1.%2.%3."/>
      <w:lvlJc w:val="left"/>
      <w:pPr>
        <w:tabs>
          <w:tab w:leader="none" w:pos="0" w:val="left"/>
        </w:tabs>
        <w:ind w:hanging="720" w:left="1288"/>
      </w:pPr>
      <w:rPr>
        <w:b w:val="1"/>
        <w:color w:val="000000"/>
      </w:rPr>
    </w:lvl>
    <w:lvl w:ilvl="3">
      <w:start w:val="1"/>
      <w:numFmt w:val="decimal"/>
      <w:lvlText w:val="%1.%2.%3.%4."/>
      <w:lvlJc w:val="left"/>
      <w:pPr>
        <w:tabs>
          <w:tab w:leader="none" w:pos="0" w:val="left"/>
        </w:tabs>
        <w:ind w:hanging="1080" w:left="2913"/>
      </w:pPr>
    </w:lvl>
    <w:lvl w:ilvl="4">
      <w:start w:val="1"/>
      <w:numFmt w:val="decimal"/>
      <w:lvlText w:val="%1.%2.%3.%4.%5."/>
      <w:lvlJc w:val="left"/>
      <w:pPr>
        <w:tabs>
          <w:tab w:leader="none" w:pos="0" w:val="left"/>
        </w:tabs>
        <w:ind w:hanging="1080" w:left="3404"/>
      </w:pPr>
    </w:lvl>
    <w:lvl w:ilvl="5">
      <w:start w:val="1"/>
      <w:numFmt w:val="decimal"/>
      <w:lvlText w:val="%1.%2.%3.%4.%5.%6."/>
      <w:lvlJc w:val="left"/>
      <w:pPr>
        <w:tabs>
          <w:tab w:leader="none" w:pos="0" w:val="left"/>
        </w:tabs>
        <w:ind w:hanging="1440" w:left="4255"/>
      </w:pPr>
    </w:lvl>
    <w:lvl w:ilvl="6">
      <w:start w:val="1"/>
      <w:numFmt w:val="decimal"/>
      <w:lvlText w:val="%1.%2.%3.%4.%5.%6.%7."/>
      <w:lvlJc w:val="left"/>
      <w:pPr>
        <w:tabs>
          <w:tab w:leader="none" w:pos="0" w:val="left"/>
        </w:tabs>
        <w:ind w:hanging="1440" w:left="4746"/>
      </w:pPr>
    </w:lvl>
    <w:lvl w:ilvl="7">
      <w:start w:val="1"/>
      <w:numFmt w:val="decimal"/>
      <w:lvlText w:val="%1.%2.%3.%4.%5.%6.%7.%8."/>
      <w:lvlJc w:val="left"/>
      <w:pPr>
        <w:tabs>
          <w:tab w:leader="none" w:pos="0" w:val="left"/>
        </w:tabs>
        <w:ind w:hanging="1800" w:left="5597"/>
      </w:pPr>
    </w:lvl>
    <w:lvl w:ilvl="8">
      <w:start w:val="1"/>
      <w:numFmt w:val="decimal"/>
      <w:lvlText w:val="%1.%2.%3.%4.%5.%6.%7.%8.%9."/>
      <w:lvlJc w:val="left"/>
      <w:pPr>
        <w:tabs>
          <w:tab w:leader="none" w:pos="0" w:val="left"/>
        </w:tabs>
        <w:ind w:hanging="1800" w:left="6088"/>
      </w:pPr>
    </w:lvl>
  </w:abstractNum>
  <w:abstractNum w:abstractNumId="4">
    <w:lvl w:ilvl="0">
      <w:start w:val="6"/>
      <w:numFmt w:val="decimal"/>
      <w:lvlText w:val="%1."/>
      <w:lvlJc w:val="left"/>
      <w:pPr>
        <w:ind w:hanging="360" w:left="501"/>
      </w:pPr>
      <w:rPr>
        <w:b w:val="1"/>
      </w:rPr>
    </w:lvl>
    <w:lvl w:ilvl="1">
      <w:start w:val="1"/>
      <w:numFmt w:val="lowerLetter"/>
      <w:lvlText w:val="%2."/>
      <w:lvlJc w:val="left"/>
      <w:pPr>
        <w:ind w:hanging="360" w:left="1221"/>
      </w:pPr>
    </w:lvl>
    <w:lvl w:ilvl="2">
      <w:start w:val="1"/>
      <w:numFmt w:val="lowerRoman"/>
      <w:lvlText w:val="%3."/>
      <w:lvlJc w:val="right"/>
      <w:pPr>
        <w:ind w:hanging="180" w:left="1941"/>
      </w:pPr>
    </w:lvl>
    <w:lvl w:ilvl="3">
      <w:start w:val="1"/>
      <w:numFmt w:val="decimal"/>
      <w:lvlText w:val="%4."/>
      <w:lvlJc w:val="left"/>
      <w:pPr>
        <w:ind w:hanging="360" w:left="2661"/>
      </w:pPr>
    </w:lvl>
    <w:lvl w:ilvl="4">
      <w:start w:val="1"/>
      <w:numFmt w:val="lowerLetter"/>
      <w:lvlText w:val="%5."/>
      <w:lvlJc w:val="left"/>
      <w:pPr>
        <w:ind w:hanging="360" w:left="3381"/>
      </w:pPr>
    </w:lvl>
    <w:lvl w:ilvl="5">
      <w:start w:val="1"/>
      <w:numFmt w:val="lowerRoman"/>
      <w:lvlText w:val="%6."/>
      <w:lvlJc w:val="right"/>
      <w:pPr>
        <w:ind w:hanging="180" w:left="4101"/>
      </w:pPr>
    </w:lvl>
    <w:lvl w:ilvl="6">
      <w:start w:val="1"/>
      <w:numFmt w:val="decimal"/>
      <w:lvlText w:val="%7."/>
      <w:lvlJc w:val="left"/>
      <w:pPr>
        <w:ind w:hanging="360" w:left="4821"/>
      </w:pPr>
    </w:lvl>
    <w:lvl w:ilvl="7">
      <w:start w:val="1"/>
      <w:numFmt w:val="lowerLetter"/>
      <w:lvlText w:val="%8."/>
      <w:lvlJc w:val="left"/>
      <w:pPr>
        <w:ind w:hanging="360" w:left="5541"/>
      </w:pPr>
    </w:lvl>
    <w:lvl w:ilvl="8">
      <w:start w:val="1"/>
      <w:numFmt w:val="lowerRoman"/>
      <w:lvlText w:val="%9."/>
      <w:lvlJc w:val="right"/>
      <w:pPr>
        <w:ind w:hanging="180" w:left="6261"/>
      </w:pPr>
    </w:lvl>
  </w:abstractNum>
  <w:abstractNum w:abstractNumId="5">
    <w:lvl w:ilvl="0">
      <w:start w:val="1"/>
      <w:numFmt w:val="bullet"/>
      <w:lvlText w:val=""/>
      <w:lvlJc w:val="left"/>
      <w:pPr>
        <w:tabs>
          <w:tab w:leader="none" w:pos="0" w:val="left"/>
        </w:tabs>
        <w:ind w:hanging="360" w:left="72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6">
    <w:lvl w:ilvl="0">
      <w:start w:val="1"/>
      <w:numFmt w:val="decimal"/>
      <w:pStyle w:val="Style_31"/>
      <w:lvlText w:val="%1."/>
      <w:lvlJc w:val="left"/>
      <w:pPr>
        <w:tabs>
          <w:tab w:leader="none" w:pos="1985" w:val="left"/>
        </w:tabs>
        <w:ind w:firstLine="709" w:left="0"/>
      </w:pPr>
      <w:rPr>
        <w:b w:val="1"/>
        <w:i w:val="0"/>
        <w:caps w:val="0"/>
        <w:smallCaps w:val="0"/>
        <w:strike w:val="0"/>
        <w:color w:val="000000"/>
        <w:spacing w:val="0"/>
        <w:sz w:val="20"/>
        <w:u w:val="none"/>
      </w:rPr>
    </w:lvl>
    <w:lvl w:ilvl="1">
      <w:start w:val="1"/>
      <w:numFmt w:val="decimal"/>
      <w:pStyle w:val="Style_59"/>
      <w:lvlText w:val="%1.%2"/>
      <w:lvlJc w:val="left"/>
      <w:pPr>
        <w:tabs>
          <w:tab w:leader="none" w:pos="1985" w:val="left"/>
        </w:tabs>
        <w:ind w:firstLine="709" w:left="0"/>
      </w:pPr>
      <w:rPr>
        <w:b w:val="1"/>
        <w:i w:val="0"/>
        <w:caps w:val="0"/>
        <w:smallCaps w:val="0"/>
        <w:strike w:val="0"/>
        <w:color w:val="000000"/>
        <w:spacing w:val="0"/>
        <w:sz w:val="28"/>
        <w:u w:val="none"/>
      </w:rPr>
    </w:lvl>
    <w:lvl w:ilvl="2">
      <w:start w:val="1"/>
      <w:numFmt w:val="decimal"/>
      <w:pStyle w:val="Style_33"/>
      <w:lvlText w:val="%1.%2.%3"/>
      <w:lvlJc w:val="left"/>
      <w:pPr>
        <w:tabs>
          <w:tab w:leader="none" w:pos="1985" w:val="left"/>
        </w:tabs>
        <w:ind w:firstLine="709" w:left="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0"/>
        <w:u w:val="none"/>
      </w:rPr>
    </w:lvl>
    <w:lvl w:ilvl="3">
      <w:start w:val="1"/>
      <w:numFmt w:val="decimal"/>
      <w:pStyle w:val="Style_42"/>
      <w:lvlText w:val="%1.%2.%3.%4"/>
      <w:lvlJc w:val="left"/>
      <w:pPr>
        <w:tabs>
          <w:tab w:leader="none" w:pos="1985" w:val="left"/>
        </w:tabs>
        <w:ind w:firstLine="709" w:left="0"/>
      </w:pPr>
      <w:rPr>
        <w:b w:val="0"/>
        <w:i w:val="0"/>
        <w:caps w:val="0"/>
        <w:smallCaps w:val="0"/>
        <w:strike w:val="0"/>
        <w:color w:val="000000"/>
        <w:spacing w:val="0"/>
        <w:sz w:val="28"/>
        <w:u w:val="none"/>
      </w:rPr>
    </w:lvl>
    <w:lvl w:ilvl="4">
      <w:start w:val="1"/>
      <w:numFmt w:val="decimal"/>
      <w:pStyle w:val="Style_25"/>
      <w:lvlText w:val="%1.%2.%3.%4.%5"/>
      <w:lvlJc w:val="left"/>
      <w:pPr>
        <w:tabs>
          <w:tab w:leader="none" w:pos="1985" w:val="left"/>
        </w:tabs>
        <w:ind w:firstLine="709" w:left="0"/>
      </w:pPr>
      <w:rPr>
        <w:b w:val="0"/>
        <w:i w:val="0"/>
        <w:caps w:val="0"/>
        <w:smallCaps w:val="0"/>
        <w:strike w:val="0"/>
        <w:color w:val="000000"/>
        <w:spacing w:val="0"/>
        <w:sz w:val="20"/>
        <w:u w:val="none"/>
      </w:rPr>
    </w:lvl>
    <w:lvl w:ilvl="5">
      <w:start w:val="1"/>
      <w:numFmt w:val="russianLower"/>
      <w:pStyle w:val="Style_46"/>
      <w:lvlText w:val="%6)"/>
      <w:lvlJc w:val="left"/>
      <w:pPr>
        <w:tabs>
          <w:tab w:leader="none" w:pos="360" w:val="left"/>
        </w:tabs>
        <w:ind w:firstLine="0" w:left="0"/>
      </w:pPr>
    </w:lvl>
    <w:lvl w:ilvl="6">
      <w:numFmt w:val="decimal"/>
      <w:pStyle w:val="Style_57"/>
      <w:lvlText w:val=""/>
      <w:lvlJc w:val="left"/>
      <w:pPr>
        <w:tabs>
          <w:tab w:leader="none" w:pos="0" w:val="left"/>
        </w:tabs>
        <w:ind w:firstLine="0" w:left="0"/>
      </w:pPr>
    </w:lvl>
    <w:lvl w:ilvl="7"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8">
      <w:numFmt w:val="decimal"/>
      <w:lvlText w:val=""/>
      <w:lvlJc w:val="left"/>
      <w:pPr>
        <w:tabs>
          <w:tab w:leader="none" w:pos="0" w:val="left"/>
        </w:tabs>
        <w:ind w:firstLine="0" w:left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keepLines w:val="1"/>
      <w:ind/>
      <w:jc w:val="both"/>
    </w:pPr>
    <w:rPr>
      <w:rFonts w:ascii="Arial" w:hAnsi="Arial"/>
      <w:sz w:val="24"/>
    </w:rPr>
  </w:style>
  <w:style w:default="1" w:styleId="Style_7_ch" w:type="character">
    <w:name w:val="Normal"/>
    <w:link w:val="Style_7"/>
    <w:rPr>
      <w:rFonts w:ascii="Arial" w:hAnsi="Arial"/>
      <w:sz w:val="24"/>
    </w:rPr>
  </w:style>
  <w:style w:styleId="Style_8" w:type="paragraph">
    <w:name w:val="Body Text"/>
    <w:basedOn w:val="Style_7"/>
    <w:link w:val="Style_8_ch"/>
    <w:pPr>
      <w:spacing w:after="160"/>
      <w:ind/>
    </w:pPr>
  </w:style>
  <w:style w:styleId="Style_8_ch" w:type="character">
    <w:name w:val="Body Text"/>
    <w:basedOn w:val="Style_7_ch"/>
    <w:link w:val="Style_8"/>
  </w:style>
  <w:style w:styleId="Style_9" w:type="paragraph">
    <w:name w:val="Обычный1"/>
    <w:link w:val="Style_9_ch"/>
    <w:rPr>
      <w:rFonts w:ascii="Arial" w:hAnsi="Arial"/>
      <w:sz w:val="24"/>
    </w:rPr>
  </w:style>
  <w:style w:styleId="Style_9_ch" w:type="character">
    <w:name w:val="Обычный1"/>
    <w:link w:val="Style_9"/>
    <w:rPr>
      <w:rFonts w:ascii="Arial" w:hAnsi="Arial"/>
      <w:sz w:val="24"/>
    </w:rPr>
  </w:style>
  <w:style w:styleId="Style_10" w:type="paragraph">
    <w:name w:val="toc 2"/>
    <w:next w:val="Style_7"/>
    <w:link w:val="Style_10_ch"/>
    <w:uiPriority w:val="39"/>
    <w:pPr>
      <w:ind w:firstLine="0" w:left="200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Document Map"/>
    <w:basedOn w:val="Style_7"/>
    <w:link w:val="Style_11_ch"/>
    <w:rPr>
      <w:rFonts w:ascii="Tahoma" w:hAnsi="Tahoma"/>
      <w:sz w:val="16"/>
    </w:rPr>
  </w:style>
  <w:style w:styleId="Style_11_ch" w:type="character">
    <w:name w:val="Document Map"/>
    <w:basedOn w:val="Style_7_ch"/>
    <w:link w:val="Style_11"/>
    <w:rPr>
      <w:rFonts w:ascii="Tahoma" w:hAnsi="Tahoma"/>
      <w:sz w:val="16"/>
    </w:rPr>
  </w:style>
  <w:style w:styleId="Style_3" w:type="paragraph">
    <w:name w:val="Стиль3"/>
    <w:basedOn w:val="Style_12"/>
    <w:link w:val="Style_3_ch"/>
    <w:pPr>
      <w:keepLines w:val="0"/>
      <w:widowControl w:val="0"/>
      <w:tabs>
        <w:tab w:leader="none" w:pos="1307" w:val="left"/>
      </w:tabs>
      <w:spacing w:after="0" w:line="240" w:lineRule="auto"/>
      <w:ind w:firstLine="0" w:left="1080"/>
    </w:pPr>
    <w:rPr>
      <w:rFonts w:ascii="Times New Roman" w:hAnsi="Times New Roman"/>
    </w:rPr>
  </w:style>
  <w:style w:styleId="Style_3_ch" w:type="character">
    <w:name w:val="Стиль3"/>
    <w:basedOn w:val="Style_12_ch"/>
    <w:link w:val="Style_3"/>
    <w:rPr>
      <w:rFonts w:ascii="Times New Roman" w:hAnsi="Times New Roman"/>
    </w:rPr>
  </w:style>
  <w:style w:styleId="Style_13" w:type="paragraph">
    <w:name w:val="toc 4"/>
    <w:next w:val="Style_7"/>
    <w:link w:val="Style_13_ch"/>
    <w:uiPriority w:val="39"/>
    <w:pPr>
      <w:ind w:firstLine="0" w:left="600"/>
    </w:pPr>
    <w:rPr>
      <w:rFonts w:ascii="XO Thames" w:hAnsi="XO Thames"/>
      <w:sz w:val="28"/>
    </w:rPr>
  </w:style>
  <w:style w:styleId="Style_13_ch" w:type="character">
    <w:name w:val="toc 4"/>
    <w:link w:val="Style_13"/>
    <w:rPr>
      <w:rFonts w:ascii="XO Thames" w:hAnsi="XO Thames"/>
      <w:sz w:val="28"/>
    </w:rPr>
  </w:style>
  <w:style w:styleId="Style_14" w:type="paragraph">
    <w:name w:val="toc 6"/>
    <w:next w:val="Style_7"/>
    <w:link w:val="Style_14_ch"/>
    <w:uiPriority w:val="39"/>
    <w:pPr>
      <w:ind w:firstLine="0" w:left="1000"/>
    </w:pPr>
    <w:rPr>
      <w:rFonts w:ascii="XO Thames" w:hAnsi="XO Thames"/>
      <w:sz w:val="28"/>
    </w:rPr>
  </w:style>
  <w:style w:styleId="Style_14_ch" w:type="character">
    <w:name w:val="toc 6"/>
    <w:link w:val="Style_14"/>
    <w:rPr>
      <w:rFonts w:ascii="XO Thames" w:hAnsi="XO Thames"/>
      <w:sz w:val="28"/>
    </w:rPr>
  </w:style>
  <w:style w:styleId="Style_15" w:type="paragraph">
    <w:name w:val="toc 7"/>
    <w:next w:val="Style_7"/>
    <w:link w:val="Style_15_ch"/>
    <w:uiPriority w:val="39"/>
    <w:pPr>
      <w:ind w:firstLine="0" w:left="1200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16" w:type="paragraph">
    <w:name w:val="heading 3"/>
    <w:basedOn w:val="Style_7"/>
    <w:next w:val="Style_7"/>
    <w:link w:val="Style_16_ch"/>
    <w:uiPriority w:val="9"/>
    <w:qFormat/>
    <w:pPr>
      <w:keepNext w:val="1"/>
      <w:spacing w:after="60" w:before="240"/>
      <w:ind/>
      <w:outlineLvl w:val="2"/>
    </w:pPr>
    <w:rPr>
      <w:b w:val="1"/>
      <w:sz w:val="28"/>
    </w:rPr>
  </w:style>
  <w:style w:styleId="Style_16_ch" w:type="character">
    <w:name w:val="heading 3"/>
    <w:basedOn w:val="Style_7_ch"/>
    <w:link w:val="Style_16"/>
    <w:rPr>
      <w:b w:val="1"/>
      <w:sz w:val="28"/>
    </w:rPr>
  </w:style>
  <w:style w:styleId="Style_17" w:type="paragraph">
    <w:name w:val="Balloon Text"/>
    <w:basedOn w:val="Style_7"/>
    <w:link w:val="Style_17_ch"/>
    <w:rPr>
      <w:rFonts w:ascii="Tahoma" w:hAnsi="Tahoma"/>
      <w:sz w:val="16"/>
    </w:rPr>
  </w:style>
  <w:style w:styleId="Style_17_ch" w:type="character">
    <w:name w:val="Balloon Text"/>
    <w:basedOn w:val="Style_7_ch"/>
    <w:link w:val="Style_17"/>
    <w:rPr>
      <w:rFonts w:ascii="Tahoma" w:hAnsi="Tahoma"/>
      <w:sz w:val="16"/>
    </w:rPr>
  </w:style>
  <w:style w:styleId="Style_12" w:type="paragraph">
    <w:name w:val="Body Text Indent 2"/>
    <w:basedOn w:val="Style_7"/>
    <w:link w:val="Style_12_ch"/>
    <w:pPr>
      <w:spacing w:after="120" w:line="480" w:lineRule="auto"/>
      <w:ind w:firstLine="0" w:left="283"/>
    </w:pPr>
  </w:style>
  <w:style w:styleId="Style_12_ch" w:type="character">
    <w:name w:val="Body Text Indent 2"/>
    <w:basedOn w:val="Style_7_ch"/>
    <w:link w:val="Style_12"/>
  </w:style>
  <w:style w:styleId="Style_18" w:type="paragraph">
    <w:name w:val="ConsNormal"/>
    <w:link w:val="Style_18_ch"/>
    <w:pPr>
      <w:ind w:firstLine="720" w:left="0" w:right="19772"/>
    </w:pPr>
    <w:rPr>
      <w:rFonts w:ascii="Arial" w:hAnsi="Arial"/>
      <w:sz w:val="24"/>
    </w:rPr>
  </w:style>
  <w:style w:styleId="Style_18_ch" w:type="character">
    <w:name w:val="ConsNormal"/>
    <w:link w:val="Style_18"/>
    <w:rPr>
      <w:rFonts w:ascii="Arial" w:hAnsi="Arial"/>
      <w:sz w:val="24"/>
    </w:rPr>
  </w:style>
  <w:style w:styleId="Style_19" w:type="paragraph">
    <w:name w:val="annotation text"/>
    <w:basedOn w:val="Style_7"/>
    <w:link w:val="Style_19_ch"/>
    <w:rPr>
      <w:sz w:val="20"/>
    </w:rPr>
  </w:style>
  <w:style w:styleId="Style_19_ch" w:type="character">
    <w:name w:val="annotation text"/>
    <w:basedOn w:val="Style_7_ch"/>
    <w:link w:val="Style_19"/>
    <w:rPr>
      <w:sz w:val="20"/>
    </w:rPr>
  </w:style>
  <w:style w:styleId="Style_1" w:type="paragraph">
    <w:name w:val="P-Style"/>
    <w:basedOn w:val="Style_7"/>
    <w:link w:val="Style_1_ch"/>
    <w:pPr>
      <w:keepLines w:val="0"/>
      <w:spacing w:after="95" w:line="276" w:lineRule="auto"/>
      <w:ind/>
      <w:jc w:val="left"/>
    </w:pPr>
    <w:rPr>
      <w:rFonts w:ascii="Times New Roman" w:hAnsi="Times New Roman"/>
    </w:rPr>
  </w:style>
  <w:style w:styleId="Style_1_ch" w:type="character">
    <w:name w:val="P-Style"/>
    <w:basedOn w:val="Style_7_ch"/>
    <w:link w:val="Style_1"/>
    <w:rPr>
      <w:rFonts w:ascii="Times New Roman" w:hAnsi="Times New Roman"/>
    </w:rPr>
  </w:style>
  <w:style w:styleId="Style_20" w:type="paragraph">
    <w:name w:val="header"/>
    <w:basedOn w:val="Style_7"/>
    <w:link w:val="Style_20_ch"/>
    <w:pPr>
      <w:tabs>
        <w:tab w:leader="none" w:pos="4677" w:val="center"/>
        <w:tab w:leader="none" w:pos="9355" w:val="right"/>
      </w:tabs>
      <w:ind/>
    </w:pPr>
  </w:style>
  <w:style w:styleId="Style_20_ch" w:type="character">
    <w:name w:val="header"/>
    <w:basedOn w:val="Style_7_ch"/>
    <w:link w:val="Style_20"/>
  </w:style>
  <w:style w:styleId="Style_21" w:type="paragraph">
    <w:name w:val="Символ нумерации"/>
    <w:link w:val="Style_21_ch"/>
  </w:style>
  <w:style w:styleId="Style_21_ch" w:type="character">
    <w:name w:val="Символ нумерации"/>
    <w:link w:val="Style_21"/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23" w:type="paragraph">
    <w:name w:val="Основной шрифт абзаца2"/>
    <w:link w:val="Style_23_ch"/>
  </w:style>
  <w:style w:styleId="Style_23_ch" w:type="character">
    <w:name w:val="Основной шрифт абзаца2"/>
    <w:link w:val="Style_23"/>
  </w:style>
  <w:style w:styleId="Style_24" w:type="paragraph">
    <w:name w:val="toc 3"/>
    <w:next w:val="Style_7"/>
    <w:link w:val="Style_24_ch"/>
    <w:uiPriority w:val="39"/>
    <w:pPr>
      <w:ind w:firstLine="0" w:left="400"/>
    </w:pPr>
    <w:rPr>
      <w:rFonts w:ascii="XO Thames" w:hAnsi="XO Thames"/>
      <w:sz w:val="28"/>
    </w:rPr>
  </w:style>
  <w:style w:styleId="Style_24_ch" w:type="character">
    <w:name w:val="toc 3"/>
    <w:link w:val="Style_24"/>
    <w:rPr>
      <w:rFonts w:ascii="XO Thames" w:hAnsi="XO Thames"/>
      <w:sz w:val="28"/>
    </w:rPr>
  </w:style>
  <w:style w:styleId="Style_25" w:type="paragraph">
    <w:name w:val="Пункт-5"/>
    <w:basedOn w:val="Style_7"/>
    <w:link w:val="Style_25_ch"/>
    <w:pPr>
      <w:keepLines w:val="0"/>
      <w:numPr>
        <w:ilvl w:val="4"/>
        <w:numId w:val="7"/>
      </w:numPr>
      <w:ind/>
    </w:pPr>
    <w:rPr>
      <w:rFonts w:ascii="Times New Roman" w:hAnsi="Times New Roman"/>
      <w:sz w:val="28"/>
    </w:rPr>
  </w:style>
  <w:style w:styleId="Style_25_ch" w:type="character">
    <w:name w:val="Пункт-5"/>
    <w:basedOn w:val="Style_7_ch"/>
    <w:link w:val="Style_25"/>
    <w:rPr>
      <w:rFonts w:ascii="Times New Roman" w:hAnsi="Times New Roman"/>
      <w:sz w:val="28"/>
    </w:rPr>
  </w:style>
  <w:style w:styleId="Style_26" w:type="paragraph">
    <w:name w:val="index heading"/>
    <w:basedOn w:val="Style_7"/>
    <w:link w:val="Style_26_ch"/>
    <w:rPr>
      <w:rFonts w:ascii="PT Astra Serif" w:hAnsi="PT Astra Serif"/>
    </w:rPr>
  </w:style>
  <w:style w:styleId="Style_26_ch" w:type="character">
    <w:name w:val="index heading"/>
    <w:basedOn w:val="Style_7_ch"/>
    <w:link w:val="Style_26"/>
    <w:rPr>
      <w:rFonts w:ascii="PT Astra Serif" w:hAnsi="PT Astra Serif"/>
    </w:rPr>
  </w:style>
  <w:style w:styleId="Style_27" w:type="paragraph">
    <w:name w:val="Revision"/>
    <w:link w:val="Style_27_ch"/>
    <w:rPr>
      <w:rFonts w:ascii="Arial" w:hAnsi="Arial"/>
      <w:sz w:val="24"/>
    </w:rPr>
  </w:style>
  <w:style w:styleId="Style_27_ch" w:type="character">
    <w:name w:val="Revision"/>
    <w:link w:val="Style_27"/>
    <w:rPr>
      <w:rFonts w:ascii="Arial" w:hAnsi="Arial"/>
      <w:sz w:val="24"/>
    </w:rPr>
  </w:style>
  <w:style w:styleId="Style_28" w:type="paragraph">
    <w:name w:val="Гиперссылка2"/>
    <w:link w:val="Style_28_ch"/>
    <w:rPr>
      <w:color w:val="0000FF"/>
      <w:u w:val="single"/>
    </w:rPr>
  </w:style>
  <w:style w:styleId="Style_28_ch" w:type="character">
    <w:name w:val="Гиперссылка2"/>
    <w:link w:val="Style_28"/>
    <w:rPr>
      <w:color w:val="0000FF"/>
      <w:u w:val="single"/>
    </w:rPr>
  </w:style>
  <w:style w:styleId="Style_6" w:type="paragraph">
    <w:name w:val="Содержимое таблицы"/>
    <w:basedOn w:val="Style_7"/>
    <w:link w:val="Style_6_ch"/>
    <w:pPr>
      <w:widowControl w:val="0"/>
      <w:ind/>
    </w:pPr>
  </w:style>
  <w:style w:styleId="Style_6_ch" w:type="character">
    <w:name w:val="Содержимое таблицы"/>
    <w:basedOn w:val="Style_7_ch"/>
    <w:link w:val="Style_6"/>
  </w:style>
  <w:style w:styleId="Style_29" w:type="paragraph">
    <w:name w:val="heading 5"/>
    <w:next w:val="Style_7"/>
    <w:link w:val="Style_2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9_ch" w:type="character">
    <w:name w:val="heading 5"/>
    <w:link w:val="Style_29"/>
    <w:rPr>
      <w:rFonts w:ascii="XO Thames" w:hAnsi="XO Thames"/>
      <w:b w:val="1"/>
      <w:sz w:val="22"/>
    </w:rPr>
  </w:style>
  <w:style w:styleId="Style_30" w:type="paragraph">
    <w:name w:val="Просмотренная гиперссылка1"/>
    <w:link w:val="Style_30_ch"/>
    <w:rPr>
      <w:color w:val="800080"/>
      <w:u w:val="single"/>
    </w:rPr>
  </w:style>
  <w:style w:styleId="Style_30_ch" w:type="character">
    <w:name w:val="Просмотренная гиперссылка1"/>
    <w:link w:val="Style_30"/>
    <w:rPr>
      <w:color w:val="800080"/>
      <w:u w:val="single"/>
    </w:rPr>
  </w:style>
  <w:style w:styleId="Style_31" w:type="paragraph">
    <w:name w:val="heading 1"/>
    <w:basedOn w:val="Style_7"/>
    <w:next w:val="Style_7"/>
    <w:link w:val="Style_31_ch"/>
    <w:uiPriority w:val="9"/>
    <w:qFormat/>
    <w:pPr>
      <w:keepNext w:val="1"/>
      <w:numPr>
        <w:numId w:val="7"/>
      </w:numPr>
      <w:ind/>
      <w:jc w:val="left"/>
      <w:outlineLvl w:val="0"/>
    </w:pPr>
    <w:rPr>
      <w:rFonts w:ascii="Times New Roman" w:hAnsi="Times New Roman"/>
      <w:b w:val="1"/>
      <w:sz w:val="28"/>
    </w:rPr>
  </w:style>
  <w:style w:styleId="Style_31_ch" w:type="character">
    <w:name w:val="heading 1"/>
    <w:basedOn w:val="Style_7_ch"/>
    <w:link w:val="Style_31"/>
    <w:rPr>
      <w:rFonts w:ascii="Times New Roman" w:hAnsi="Times New Roman"/>
      <w:b w:val="1"/>
      <w:sz w:val="28"/>
    </w:rPr>
  </w:style>
  <w:style w:styleId="Style_32" w:type="paragraph">
    <w:name w:val="Заголовок таблицы"/>
    <w:basedOn w:val="Style_6"/>
    <w:link w:val="Style_32_ch"/>
    <w:pPr>
      <w:ind/>
      <w:jc w:val="center"/>
    </w:pPr>
    <w:rPr>
      <w:b w:val="1"/>
    </w:rPr>
  </w:style>
  <w:style w:styleId="Style_32_ch" w:type="character">
    <w:name w:val="Заголовок таблицы"/>
    <w:basedOn w:val="Style_6_ch"/>
    <w:link w:val="Style_32"/>
    <w:rPr>
      <w:b w:val="1"/>
    </w:rPr>
  </w:style>
  <w:style w:styleId="Style_33" w:type="paragraph">
    <w:name w:val="Пункт-3"/>
    <w:basedOn w:val="Style_7"/>
    <w:link w:val="Style_33_ch"/>
    <w:pPr>
      <w:keepLines w:val="0"/>
      <w:numPr>
        <w:ilvl w:val="2"/>
        <w:numId w:val="7"/>
      </w:numPr>
      <w:ind/>
    </w:pPr>
    <w:rPr>
      <w:rFonts w:ascii="Times New Roman" w:hAnsi="Times New Roman"/>
      <w:sz w:val="28"/>
    </w:rPr>
  </w:style>
  <w:style w:styleId="Style_33_ch" w:type="character">
    <w:name w:val="Пункт-3"/>
    <w:basedOn w:val="Style_7_ch"/>
    <w:link w:val="Style_33"/>
    <w:rPr>
      <w:rFonts w:ascii="Times New Roman" w:hAnsi="Times New Roman"/>
      <w:sz w:val="28"/>
    </w:rPr>
  </w:style>
  <w:style w:styleId="Style_34" w:type="paragraph">
    <w:name w:val="Hyperlink"/>
    <w:link w:val="Style_34_ch"/>
    <w:rPr>
      <w:color w:val="0000FF"/>
      <w:u w:val="single"/>
    </w:rPr>
  </w:style>
  <w:style w:styleId="Style_34_ch" w:type="character">
    <w:name w:val="Hyperlink"/>
    <w:link w:val="Style_34"/>
    <w:rPr>
      <w:color w:val="0000FF"/>
      <w:u w:val="single"/>
    </w:rPr>
  </w:style>
  <w:style w:styleId="Style_35" w:type="paragraph">
    <w:name w:val="Footnote"/>
    <w:link w:val="Style_35_ch"/>
    <w:pPr>
      <w:ind w:firstLine="851" w:left="0"/>
      <w:jc w:val="both"/>
    </w:pPr>
    <w:rPr>
      <w:rFonts w:ascii="XO Thames" w:hAnsi="XO Thames"/>
      <w:sz w:val="22"/>
    </w:rPr>
  </w:style>
  <w:style w:styleId="Style_35_ch" w:type="character">
    <w:name w:val="Footnote"/>
    <w:link w:val="Style_35"/>
    <w:rPr>
      <w:rFonts w:ascii="XO Thames" w:hAnsi="XO Thames"/>
      <w:sz w:val="22"/>
    </w:rPr>
  </w:style>
  <w:style w:styleId="Style_36" w:type="paragraph">
    <w:name w:val="Гиперссылка1"/>
    <w:link w:val="Style_36_ch"/>
    <w:rPr>
      <w:color w:val="0063A4"/>
    </w:rPr>
  </w:style>
  <w:style w:styleId="Style_36_ch" w:type="character">
    <w:name w:val="Гиперссылка1"/>
    <w:link w:val="Style_36"/>
    <w:rPr>
      <w:color w:val="0063A4"/>
    </w:rPr>
  </w:style>
  <w:style w:styleId="Style_37" w:type="paragraph">
    <w:name w:val="toc 1"/>
    <w:next w:val="Style_7"/>
    <w:link w:val="Style_37_ch"/>
    <w:uiPriority w:val="39"/>
    <w:rPr>
      <w:rFonts w:ascii="XO Thames" w:hAnsi="XO Thames"/>
      <w:b w:val="1"/>
      <w:sz w:val="28"/>
    </w:rPr>
  </w:style>
  <w:style w:styleId="Style_37_ch" w:type="character">
    <w:name w:val="toc 1"/>
    <w:link w:val="Style_37"/>
    <w:rPr>
      <w:rFonts w:ascii="XO Thames" w:hAnsi="XO Thames"/>
      <w:b w:val="1"/>
      <w:sz w:val="28"/>
    </w:rPr>
  </w:style>
  <w:style w:styleId="Style_38" w:type="paragraph">
    <w:name w:val="Header and Footer"/>
    <w:link w:val="Style_38_ch"/>
    <w:pPr>
      <w:ind/>
      <w:jc w:val="both"/>
    </w:pPr>
    <w:rPr>
      <w:rFonts w:ascii="XO Thames" w:hAnsi="XO Thames"/>
    </w:rPr>
  </w:style>
  <w:style w:styleId="Style_38_ch" w:type="character">
    <w:name w:val="Header and Footer"/>
    <w:link w:val="Style_38"/>
    <w:rPr>
      <w:rFonts w:ascii="XO Thames" w:hAnsi="XO Thames"/>
    </w:rPr>
  </w:style>
  <w:style w:styleId="Style_39" w:type="paragraph">
    <w:name w:val="List"/>
    <w:basedOn w:val="Style_8"/>
    <w:link w:val="Style_39_ch"/>
    <w:rPr>
      <w:rFonts w:ascii="PT Astra Serif" w:hAnsi="PT Astra Serif"/>
    </w:rPr>
  </w:style>
  <w:style w:styleId="Style_39_ch" w:type="character">
    <w:name w:val="List"/>
    <w:basedOn w:val="Style_8_ch"/>
    <w:link w:val="Style_39"/>
    <w:rPr>
      <w:rFonts w:ascii="PT Astra Serif" w:hAnsi="PT Astra Serif"/>
    </w:rPr>
  </w:style>
  <w:style w:styleId="Style_40" w:type="paragraph">
    <w:name w:val="Колонтитул"/>
    <w:basedOn w:val="Style_7"/>
    <w:link w:val="Style_40_ch"/>
  </w:style>
  <w:style w:styleId="Style_40_ch" w:type="character">
    <w:name w:val="Колонтитул"/>
    <w:basedOn w:val="Style_7_ch"/>
    <w:link w:val="Style_40"/>
  </w:style>
  <w:style w:styleId="Style_41" w:type="paragraph">
    <w:name w:val="toc 9"/>
    <w:next w:val="Style_7"/>
    <w:link w:val="Style_41_ch"/>
    <w:uiPriority w:val="39"/>
    <w:pPr>
      <w:ind w:firstLine="0" w:left="1600"/>
    </w:pPr>
    <w:rPr>
      <w:rFonts w:ascii="XO Thames" w:hAnsi="XO Thames"/>
      <w:sz w:val="28"/>
    </w:rPr>
  </w:style>
  <w:style w:styleId="Style_41_ch" w:type="character">
    <w:name w:val="toc 9"/>
    <w:link w:val="Style_41"/>
    <w:rPr>
      <w:rFonts w:ascii="XO Thames" w:hAnsi="XO Thames"/>
      <w:sz w:val="28"/>
    </w:rPr>
  </w:style>
  <w:style w:styleId="Style_42" w:type="paragraph">
    <w:name w:val="Пункт-4"/>
    <w:basedOn w:val="Style_7"/>
    <w:link w:val="Style_42_ch"/>
    <w:pPr>
      <w:keepLines w:val="0"/>
      <w:numPr>
        <w:ilvl w:val="3"/>
        <w:numId w:val="7"/>
      </w:numPr>
      <w:ind/>
    </w:pPr>
    <w:rPr>
      <w:rFonts w:ascii="Times New Roman" w:hAnsi="Times New Roman"/>
      <w:sz w:val="28"/>
    </w:rPr>
  </w:style>
  <w:style w:styleId="Style_42_ch" w:type="character">
    <w:name w:val="Пункт-4"/>
    <w:basedOn w:val="Style_7_ch"/>
    <w:link w:val="Style_42"/>
    <w:rPr>
      <w:rFonts w:ascii="Times New Roman" w:hAnsi="Times New Roman"/>
      <w:sz w:val="28"/>
    </w:rPr>
  </w:style>
  <w:style w:styleId="Style_43" w:type="paragraph">
    <w:name w:val="Обычный1"/>
    <w:link w:val="Style_43_ch"/>
    <w:rPr>
      <w:rFonts w:ascii="Arial" w:hAnsi="Arial"/>
      <w:sz w:val="24"/>
    </w:rPr>
  </w:style>
  <w:style w:styleId="Style_43_ch" w:type="character">
    <w:name w:val="Обычный1"/>
    <w:link w:val="Style_43"/>
    <w:rPr>
      <w:rFonts w:ascii="Arial" w:hAnsi="Arial"/>
      <w:sz w:val="24"/>
    </w:rPr>
  </w:style>
  <w:style w:styleId="Style_44" w:type="paragraph">
    <w:name w:val="Основной текст с отступом 31"/>
    <w:basedOn w:val="Style_7"/>
    <w:link w:val="Style_44_ch"/>
    <w:pPr>
      <w:keepLines w:val="0"/>
      <w:ind w:firstLine="709" w:left="0"/>
    </w:pPr>
    <w:rPr>
      <w:rFonts w:ascii="Times New Roman" w:hAnsi="Times New Roman"/>
      <w:b w:val="1"/>
      <w:sz w:val="26"/>
    </w:rPr>
  </w:style>
  <w:style w:styleId="Style_44_ch" w:type="character">
    <w:name w:val="Основной текст с отступом 31"/>
    <w:basedOn w:val="Style_7_ch"/>
    <w:link w:val="Style_44"/>
    <w:rPr>
      <w:rFonts w:ascii="Times New Roman" w:hAnsi="Times New Roman"/>
      <w:b w:val="1"/>
      <w:sz w:val="26"/>
    </w:rPr>
  </w:style>
  <w:style w:styleId="Style_45" w:type="paragraph">
    <w:name w:val="toc 8"/>
    <w:next w:val="Style_7"/>
    <w:link w:val="Style_45_ch"/>
    <w:uiPriority w:val="39"/>
    <w:pPr>
      <w:ind w:firstLine="0" w:left="1400"/>
    </w:pPr>
    <w:rPr>
      <w:rFonts w:ascii="XO Thames" w:hAnsi="XO Thames"/>
      <w:sz w:val="28"/>
    </w:rPr>
  </w:style>
  <w:style w:styleId="Style_45_ch" w:type="character">
    <w:name w:val="toc 8"/>
    <w:link w:val="Style_45"/>
    <w:rPr>
      <w:rFonts w:ascii="XO Thames" w:hAnsi="XO Thames"/>
      <w:sz w:val="28"/>
    </w:rPr>
  </w:style>
  <w:style w:styleId="Style_46" w:type="paragraph">
    <w:name w:val="Пункт-6"/>
    <w:basedOn w:val="Style_7"/>
    <w:link w:val="Style_46_ch"/>
    <w:pPr>
      <w:keepLines w:val="0"/>
      <w:numPr>
        <w:ilvl w:val="5"/>
        <w:numId w:val="7"/>
      </w:numPr>
      <w:tabs>
        <w:tab w:leader="none" w:pos="1985" w:val="left"/>
      </w:tabs>
      <w:ind w:firstLine="709" w:left="0"/>
    </w:pPr>
    <w:rPr>
      <w:rFonts w:ascii="Times New Roman" w:hAnsi="Times New Roman"/>
      <w:sz w:val="28"/>
    </w:rPr>
  </w:style>
  <w:style w:styleId="Style_46_ch" w:type="character">
    <w:name w:val="Пункт-6"/>
    <w:basedOn w:val="Style_7_ch"/>
    <w:link w:val="Style_46"/>
    <w:rPr>
      <w:rFonts w:ascii="Times New Roman" w:hAnsi="Times New Roman"/>
      <w:sz w:val="28"/>
    </w:rPr>
  </w:style>
  <w:style w:styleId="Style_47" w:type="paragraph">
    <w:name w:val="caption"/>
    <w:basedOn w:val="Style_7"/>
    <w:link w:val="Style_47_ch"/>
    <w:pPr>
      <w:spacing w:after="120" w:before="120"/>
      <w:ind/>
    </w:pPr>
    <w:rPr>
      <w:rFonts w:ascii="PT Astra Serif" w:hAnsi="PT Astra Serif"/>
      <w:i w:val="1"/>
    </w:rPr>
  </w:style>
  <w:style w:styleId="Style_47_ch" w:type="character">
    <w:name w:val="caption"/>
    <w:basedOn w:val="Style_7_ch"/>
    <w:link w:val="Style_47"/>
    <w:rPr>
      <w:rFonts w:ascii="PT Astra Serif" w:hAnsi="PT Astra Serif"/>
      <w:i w:val="1"/>
    </w:rPr>
  </w:style>
  <w:style w:styleId="Style_48" w:type="paragraph">
    <w:name w:val="toc 5"/>
    <w:next w:val="Style_7"/>
    <w:link w:val="Style_48_ch"/>
    <w:uiPriority w:val="39"/>
    <w:pPr>
      <w:ind w:firstLine="0" w:left="800"/>
    </w:pPr>
    <w:rPr>
      <w:rFonts w:ascii="XO Thames" w:hAnsi="XO Thames"/>
      <w:sz w:val="28"/>
    </w:rPr>
  </w:style>
  <w:style w:styleId="Style_48_ch" w:type="character">
    <w:name w:val="toc 5"/>
    <w:link w:val="Style_48"/>
    <w:rPr>
      <w:rFonts w:ascii="XO Thames" w:hAnsi="XO Thames"/>
      <w:sz w:val="28"/>
    </w:rPr>
  </w:style>
  <w:style w:styleId="Style_49" w:type="paragraph">
    <w:name w:val="Знак примечания1"/>
    <w:link w:val="Style_49_ch"/>
    <w:rPr>
      <w:sz w:val="16"/>
    </w:rPr>
  </w:style>
  <w:style w:styleId="Style_49_ch" w:type="character">
    <w:name w:val="Знак примечания1"/>
    <w:link w:val="Style_49"/>
    <w:rPr>
      <w:sz w:val="16"/>
    </w:rPr>
  </w:style>
  <w:style w:styleId="Style_50" w:type="paragraph">
    <w:name w:val="annotation subject"/>
    <w:basedOn w:val="Style_19"/>
    <w:next w:val="Style_19"/>
    <w:link w:val="Style_50_ch"/>
    <w:pPr>
      <w:keepLines w:val="0"/>
      <w:spacing w:after="200"/>
      <w:ind/>
      <w:jc w:val="left"/>
    </w:pPr>
    <w:rPr>
      <w:b w:val="1"/>
    </w:rPr>
  </w:style>
  <w:style w:styleId="Style_50_ch" w:type="character">
    <w:name w:val="annotation subject"/>
    <w:basedOn w:val="Style_19_ch"/>
    <w:link w:val="Style_50"/>
    <w:rPr>
      <w:b w:val="1"/>
    </w:rPr>
  </w:style>
  <w:style w:styleId="Style_51" w:type="paragraph">
    <w:name w:val="footer"/>
    <w:basedOn w:val="Style_7"/>
    <w:link w:val="Style_51_ch"/>
    <w:pPr>
      <w:tabs>
        <w:tab w:leader="none" w:pos="4677" w:val="center"/>
        <w:tab w:leader="none" w:pos="9355" w:val="right"/>
      </w:tabs>
      <w:ind/>
    </w:pPr>
  </w:style>
  <w:style w:styleId="Style_51_ch" w:type="character">
    <w:name w:val="footer"/>
    <w:basedOn w:val="Style_7_ch"/>
    <w:link w:val="Style_51"/>
  </w:style>
  <w:style w:styleId="Style_52" w:type="paragraph">
    <w:name w:val="Subtitle"/>
    <w:next w:val="Style_7"/>
    <w:link w:val="Style_5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52_ch" w:type="character">
    <w:name w:val="Subtitle"/>
    <w:link w:val="Style_52"/>
    <w:rPr>
      <w:rFonts w:ascii="XO Thames" w:hAnsi="XO Thames"/>
      <w:i w:val="1"/>
      <w:sz w:val="24"/>
    </w:rPr>
  </w:style>
  <w:style w:styleId="Style_5" w:type="paragraph">
    <w:name w:val="List Paragraph"/>
    <w:basedOn w:val="Style_7"/>
    <w:link w:val="Style_5_ch"/>
    <w:pPr>
      <w:ind w:firstLine="0" w:left="720"/>
      <w:contextualSpacing w:val="1"/>
    </w:pPr>
  </w:style>
  <w:style w:styleId="Style_5_ch" w:type="character">
    <w:name w:val="List Paragraph"/>
    <w:basedOn w:val="Style_7_ch"/>
    <w:link w:val="Style_5"/>
  </w:style>
  <w:style w:styleId="Style_53" w:type="paragraph">
    <w:name w:val="Основной текст 31"/>
    <w:basedOn w:val="Style_7"/>
    <w:link w:val="Style_53_ch"/>
    <w:pPr>
      <w:keepLines w:val="0"/>
      <w:spacing w:after="120"/>
      <w:ind/>
      <w:jc w:val="left"/>
    </w:pPr>
    <w:rPr>
      <w:rFonts w:ascii="Book Antiqua" w:hAnsi="Book Antiqua"/>
      <w:sz w:val="16"/>
    </w:rPr>
  </w:style>
  <w:style w:styleId="Style_53_ch" w:type="character">
    <w:name w:val="Основной текст 31"/>
    <w:basedOn w:val="Style_7_ch"/>
    <w:link w:val="Style_53"/>
    <w:rPr>
      <w:rFonts w:ascii="Book Antiqua" w:hAnsi="Book Antiqua"/>
      <w:sz w:val="16"/>
    </w:rPr>
  </w:style>
  <w:style w:styleId="Style_54" w:type="paragraph">
    <w:name w:val="Title"/>
    <w:basedOn w:val="Style_7"/>
    <w:next w:val="Style_8"/>
    <w:link w:val="Style_54_ch"/>
    <w:uiPriority w:val="10"/>
    <w:qFormat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54_ch" w:type="character">
    <w:name w:val="Title"/>
    <w:basedOn w:val="Style_7_ch"/>
    <w:link w:val="Style_54"/>
    <w:rPr>
      <w:rFonts w:ascii="PT Astra Serif" w:hAnsi="PT Astra Serif"/>
      <w:sz w:val="28"/>
    </w:rPr>
  </w:style>
  <w:style w:styleId="Style_55" w:type="paragraph">
    <w:name w:val="Normal (Web)"/>
    <w:basedOn w:val="Style_7"/>
    <w:link w:val="Style_55_ch"/>
    <w:pPr>
      <w:keepLines w:val="0"/>
      <w:spacing w:afterAutospacing="on" w:beforeAutospacing="on"/>
      <w:ind/>
      <w:jc w:val="left"/>
    </w:pPr>
    <w:rPr>
      <w:rFonts w:ascii="Times New Roman" w:hAnsi="Times New Roman"/>
    </w:rPr>
  </w:style>
  <w:style w:styleId="Style_55_ch" w:type="character">
    <w:name w:val="Normal (Web)"/>
    <w:basedOn w:val="Style_7_ch"/>
    <w:link w:val="Style_55"/>
    <w:rPr>
      <w:rFonts w:ascii="Times New Roman" w:hAnsi="Times New Roman"/>
    </w:rPr>
  </w:style>
  <w:style w:styleId="Style_56" w:type="paragraph">
    <w:name w:val="heading 4"/>
    <w:next w:val="Style_7"/>
    <w:link w:val="Style_5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56_ch" w:type="character">
    <w:name w:val="heading 4"/>
    <w:link w:val="Style_56"/>
    <w:rPr>
      <w:rFonts w:ascii="XO Thames" w:hAnsi="XO Thames"/>
      <w:b w:val="1"/>
      <w:sz w:val="24"/>
    </w:rPr>
  </w:style>
  <w:style w:styleId="Style_57" w:type="paragraph">
    <w:name w:val="Пункт-7"/>
    <w:basedOn w:val="Style_7"/>
    <w:link w:val="Style_57_ch"/>
    <w:pPr>
      <w:keepLines w:val="0"/>
      <w:numPr>
        <w:ilvl w:val="6"/>
        <w:numId w:val="7"/>
      </w:numPr>
      <w:ind w:firstLine="709" w:left="0"/>
    </w:pPr>
    <w:rPr>
      <w:rFonts w:ascii="Times New Roman" w:hAnsi="Times New Roman"/>
      <w:sz w:val="28"/>
    </w:rPr>
  </w:style>
  <w:style w:styleId="Style_57_ch" w:type="character">
    <w:name w:val="Пункт-7"/>
    <w:basedOn w:val="Style_7_ch"/>
    <w:link w:val="Style_57"/>
    <w:rPr>
      <w:rFonts w:ascii="Times New Roman" w:hAnsi="Times New Roman"/>
      <w:sz w:val="28"/>
    </w:rPr>
  </w:style>
  <w:style w:styleId="Style_58" w:type="paragraph">
    <w:name w:val="Основной шрифт абзаца1"/>
    <w:link w:val="Style_58_ch"/>
  </w:style>
  <w:style w:styleId="Style_58_ch" w:type="character">
    <w:name w:val="Основной шрифт абзаца1"/>
    <w:link w:val="Style_58"/>
  </w:style>
  <w:style w:styleId="Style_59" w:type="paragraph">
    <w:name w:val="heading 2"/>
    <w:basedOn w:val="Style_7"/>
    <w:next w:val="Style_33"/>
    <w:link w:val="Style_59_ch"/>
    <w:uiPriority w:val="9"/>
    <w:qFormat/>
    <w:pPr>
      <w:keepNext w:val="1"/>
      <w:keepLines w:val="0"/>
      <w:numPr>
        <w:ilvl w:val="1"/>
        <w:numId w:val="7"/>
      </w:numPr>
      <w:ind/>
      <w:jc w:val="left"/>
      <w:outlineLvl w:val="1"/>
    </w:pPr>
    <w:rPr>
      <w:rFonts w:ascii="Times New Roman" w:hAnsi="Times New Roman"/>
      <w:b w:val="1"/>
      <w:sz w:val="28"/>
    </w:rPr>
  </w:style>
  <w:style w:styleId="Style_59_ch" w:type="character">
    <w:name w:val="heading 2"/>
    <w:basedOn w:val="Style_7_ch"/>
    <w:link w:val="Style_59"/>
    <w:rPr>
      <w:rFonts w:ascii="Times New Roman" w:hAnsi="Times New Roman"/>
      <w:b w:val="1"/>
      <w:sz w:val="28"/>
    </w:rPr>
  </w:style>
  <w:style w:styleId="Style_2" w:type="table">
    <w:name w:val="Сетка таблицы1"/>
    <w:basedOn w:val="Style_4"/>
    <w:rPr>
      <w:sz w:val="24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0" w:type="table">
    <w:name w:val="Table Grid"/>
    <w:basedOn w:val="Style_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61" w:type="table">
    <w:name w:val="style11427"/>
    <w:pPr>
      <w:spacing w:after="200" w:line="276" w:lineRule="auto"/>
      <w:ind/>
    </w:pPr>
    <w:rPr>
      <w:sz w:val="24"/>
    </w:rPr>
    <w:tblPr>
      <w:tblBorders>
        <w:top w:color="000000" w:sz="1" w:val="single"/>
        <w:left w:color="000000" w:sz="1" w:val="single"/>
        <w:bottom w:color="000000" w:sz="1" w:val="single"/>
        <w:right w:color="000000" w:sz="1" w:val="single"/>
        <w:insideH w:color="000000" w:sz="1" w:val="single"/>
        <w:insideV w:color="000000" w:sz="1" w:val="single"/>
      </w:tblBorders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numbering.xml" Type="http://schemas.openxmlformats.org/officeDocument/2006/relationships/numbering"/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media/1.png" Type="http://schemas.openxmlformats.org/officeDocument/2006/relationships/imag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2025-06-30T04:17:49Z</dcterms:modified>
</cp:coreProperties>
</file>