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(0744200000226005106)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3"/>
        <w:gridCol w:w="4396"/>
        <w:gridCol w:w="3373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0744200000226005106-2-1</w:t>
            </w:r>
          </w:p>
        </w:tc>
      </w:tr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widowControl w:val="false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Курская обл, Курск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ОБЛАСТНОЕ БЮДЖЕТНОЕ УЧРЕЖДЕНИЕ ЗДРАВООХРАНЕНИЯ "ОФТАЛЬМОЛОГИЧЕСКАЯ КЛИНИЧЕСКАЯ БОЛЬНИЦА - ОФТАЛЬМОЛОГИЧЕСКИЙ ЦЕНТР"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262462900916446320100100250450000244.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12:39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 - белья стерильного.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999 915.75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250" w:leader="none"/>
        </w:tabs>
        <w:spacing w:before="0" w:after="200"/>
        <w:ind w:left="0" w:right="0" w:hanging="0"/>
        <w:jc w:val="left"/>
        <w:rPr/>
      </w:pPr>
      <w:r>
        <w:rPr>
          <w:rStyle w:val="AnyCharacter"/>
          <w:sz w:val="22"/>
          <w:szCs w:val="22"/>
          <w:lang w:val="ru-RU" w:eastAsia="ru-RU" w:bidi="ar-SA"/>
        </w:rPr>
        <w:t xml:space="preserve"> </w:t>
      </w:r>
      <w:r>
        <w:rPr>
          <w:rStyle w:val="AnyCharacter"/>
          <w:sz w:val="22"/>
          <w:szCs w:val="22"/>
          <w:lang w:val="ru-RU" w:eastAsia="ru-RU" w:bidi="ar-SA"/>
        </w:rPr>
        <w:t>Д</w:t>
      </w:r>
      <w:r>
        <w:rPr>
          <w:rStyle w:val="AnyCharacter"/>
          <w:rFonts w:eastAsia="Times New Roman"/>
          <w:sz w:val="22"/>
          <w:szCs w:val="22"/>
          <w:lang w:val="ru-RU" w:eastAsia="ru-RU" w:bidi="ar-SA"/>
        </w:rPr>
        <w:t>ата подведения итогов определения поставщика по электронному аукциону 19</w:t>
      </w:r>
      <w:r>
        <w:rPr>
          <w:rStyle w:val="AnyCharacter"/>
          <w:rFonts w:eastAsia="SimSun" w:cs="Times New Roman"/>
          <w:color w:val="000000"/>
          <w:sz w:val="22"/>
          <w:szCs w:val="22"/>
          <w:lang w:val="ru-RU" w:eastAsia="ru-RU" w:bidi="ar-SA"/>
        </w:rPr>
        <w:t>.06.</w:t>
      </w:r>
      <w:r>
        <w:rPr>
          <w:rStyle w:val="AnyCharacter"/>
          <w:rFonts w:cs="Times New Roman"/>
          <w:sz w:val="22"/>
          <w:szCs w:val="22"/>
          <w:lang w:val="ru-RU" w:eastAsia="ru-RU" w:bidi="ar-SA"/>
        </w:rPr>
        <w:t>2026 г.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70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Каменева Татьяна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Тимошенко Ирина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Гасевская Ольга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Овчинникова Екатерина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Просенюк Юлия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Лепшеева Анастасия Олеговна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jc w:val="left"/>
        <w:rPr>
          <w:sz w:val="22"/>
          <w:szCs w:val="22"/>
        </w:rPr>
      </w:pPr>
      <w:r>
        <w:rPr>
          <w:rFonts w:eastAsia="Times New Roman" w:cs="Times New Roman"/>
          <w:sz w:val="22"/>
          <w:szCs w:val="22"/>
          <w:lang w:eastAsia="ru-RU" w:bidi="ar-SA"/>
        </w:rPr>
        <w:t>9. По окончании срока подачи заявок на участие в закупке 19</w:t>
      </w:r>
      <w:r>
        <w:rPr>
          <w:rFonts w:eastAsia="Times New Roman" w:cs="Times New Roman"/>
          <w:color w:val="000000"/>
          <w:kern w:val="2"/>
          <w:sz w:val="22"/>
          <w:szCs w:val="22"/>
          <w:lang w:eastAsia="ru-RU" w:bidi="ar-SA"/>
        </w:rPr>
        <w:t>.06</w:t>
      </w:r>
      <w:r>
        <w:rPr>
          <w:rFonts w:eastAsia="Times New Roman" w:cs="Times New Roman"/>
          <w:sz w:val="22"/>
          <w:szCs w:val="22"/>
          <w:lang w:eastAsia="ru-RU" w:bidi="ar-SA"/>
        </w:rPr>
        <w:t>.2026 08:00 ч. было подано 6 заявок.</w:t>
      </w:r>
    </w:p>
    <w:p>
      <w:pPr>
        <w:pStyle w:val="Normal"/>
        <w:numPr>
          <w:ilvl w:val="0"/>
          <w:numId w:val="0"/>
        </w:numPr>
        <w:spacing w:lineRule="auto" w:line="240" w:before="60" w:after="0"/>
        <w:ind w:left="0" w:hanging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10. </w:t>
      </w:r>
      <w:r>
        <w:rPr>
          <w:rFonts w:eastAsia="Times New Roman"/>
          <w:sz w:val="22"/>
          <w:szCs w:val="22"/>
          <w:lang w:val="ru-RU" w:eastAsia="ru-RU" w:bidi="ru-RU"/>
        </w:rPr>
        <w:t xml:space="preserve">Комиссия по осуществлению закупок рассмотрела в соответствии со ст. 49 Федерального закона № 44-ФЗ заявки на участие в закупке, информацию и документы на соответствие извещению об осуществлении закупки и приняла следующее решение: </w:t>
      </w:r>
    </w:p>
    <w:p>
      <w:pPr>
        <w:pStyle w:val="Normal"/>
        <w:numPr>
          <w:ilvl w:val="0"/>
          <w:numId w:val="0"/>
        </w:numPr>
        <w:spacing w:lineRule="auto" w:line="240" w:before="60" w:after="0"/>
        <w:ind w:left="0" w:hanging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tbl>
      <w:tblPr>
        <w:tblW w:w="10200" w:type="dxa"/>
        <w:jc w:val="left"/>
        <w:tblInd w:w="3" w:type="dxa"/>
        <w:tblLayout w:type="fixed"/>
        <w:tblCellMar>
          <w:top w:w="15" w:type="dxa"/>
          <w:left w:w="22" w:type="dxa"/>
          <w:bottom w:w="15" w:type="dxa"/>
          <w:right w:w="22" w:type="dxa"/>
        </w:tblCellMar>
      </w:tblPr>
      <w:tblGrid>
        <w:gridCol w:w="1546"/>
        <w:gridCol w:w="1662"/>
        <w:gridCol w:w="1504"/>
        <w:gridCol w:w="2745"/>
        <w:gridCol w:w="2743"/>
      </w:tblGrid>
      <w:tr>
        <w:trPr/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Порядковый номер присвоенный заявке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Идентификационный номер заявки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Решение о соответствии извещению об осуществлении закупки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Основание отклонения и обоснование с указанием положений закона и извещения</w:t>
            </w:r>
          </w:p>
        </w:tc>
        <w:tc>
          <w:tcPr>
            <w:tcW w:w="2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Дата и время подачи ценового предложения</w:t>
            </w:r>
          </w:p>
        </w:tc>
      </w:tr>
      <w:tr>
        <w:trPr/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1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5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Соответствует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-</w:t>
            </w:r>
          </w:p>
        </w:tc>
        <w:tc>
          <w:tcPr>
            <w:tcW w:w="2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 xml:space="preserve">19.06.2026 </w:t>
              <w:br/>
              <w:t>10:15:46</w:t>
            </w:r>
          </w:p>
        </w:tc>
      </w:tr>
      <w:tr>
        <w:trPr/>
        <w:tc>
          <w:tcPr>
            <w:tcW w:w="15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2</w:t>
            </w:r>
          </w:p>
        </w:tc>
        <w:tc>
          <w:tcPr>
            <w:tcW w:w="16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2</w:t>
            </w:r>
          </w:p>
        </w:tc>
        <w:tc>
          <w:tcPr>
            <w:tcW w:w="15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Соответствует</w:t>
            </w:r>
          </w:p>
        </w:tc>
        <w:tc>
          <w:tcPr>
            <w:tcW w:w="2745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-</w:t>
            </w:r>
          </w:p>
        </w:tc>
        <w:tc>
          <w:tcPr>
            <w:tcW w:w="27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19.06.2026</w:t>
              <w:br/>
              <w:t>10:16:15</w:t>
            </w:r>
          </w:p>
        </w:tc>
      </w:tr>
      <w:tr>
        <w:trPr/>
        <w:tc>
          <w:tcPr>
            <w:tcW w:w="15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3</w:t>
            </w:r>
          </w:p>
        </w:tc>
        <w:tc>
          <w:tcPr>
            <w:tcW w:w="16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7</w:t>
            </w:r>
          </w:p>
        </w:tc>
        <w:tc>
          <w:tcPr>
            <w:tcW w:w="15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Соответствует</w:t>
            </w:r>
          </w:p>
        </w:tc>
        <w:tc>
          <w:tcPr>
            <w:tcW w:w="2745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-</w:t>
            </w:r>
          </w:p>
        </w:tc>
        <w:tc>
          <w:tcPr>
            <w:tcW w:w="27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19.06.2026</w:t>
              <w:br/>
              <w:t>10:14:02</w:t>
            </w:r>
          </w:p>
        </w:tc>
      </w:tr>
      <w:tr>
        <w:trPr/>
        <w:tc>
          <w:tcPr>
            <w:tcW w:w="15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4</w:t>
            </w:r>
          </w:p>
        </w:tc>
        <w:tc>
          <w:tcPr>
            <w:tcW w:w="16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1</w:t>
            </w:r>
          </w:p>
        </w:tc>
        <w:tc>
          <w:tcPr>
            <w:tcW w:w="15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Соответствует</w:t>
            </w:r>
          </w:p>
        </w:tc>
        <w:tc>
          <w:tcPr>
            <w:tcW w:w="2745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-</w:t>
            </w:r>
          </w:p>
        </w:tc>
        <w:tc>
          <w:tcPr>
            <w:tcW w:w="27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19.06.2026</w:t>
              <w:br/>
              <w:t>10:09:36</w:t>
            </w:r>
          </w:p>
        </w:tc>
      </w:tr>
      <w:tr>
        <w:trPr/>
        <w:tc>
          <w:tcPr>
            <w:tcW w:w="15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5</w:t>
            </w:r>
          </w:p>
        </w:tc>
        <w:tc>
          <w:tcPr>
            <w:tcW w:w="16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6</w:t>
            </w:r>
          </w:p>
        </w:tc>
        <w:tc>
          <w:tcPr>
            <w:tcW w:w="15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Соответствует</w:t>
            </w:r>
          </w:p>
        </w:tc>
        <w:tc>
          <w:tcPr>
            <w:tcW w:w="2745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-</w:t>
            </w:r>
          </w:p>
        </w:tc>
        <w:tc>
          <w:tcPr>
            <w:tcW w:w="27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19.06.2026</w:t>
              <w:br/>
              <w:t>10:02:26</w:t>
            </w:r>
          </w:p>
        </w:tc>
      </w:tr>
      <w:tr>
        <w:trPr/>
        <w:tc>
          <w:tcPr>
            <w:tcW w:w="15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6</w:t>
            </w:r>
          </w:p>
        </w:tc>
        <w:tc>
          <w:tcPr>
            <w:tcW w:w="16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4</w:t>
            </w:r>
          </w:p>
        </w:tc>
        <w:tc>
          <w:tcPr>
            <w:tcW w:w="15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Соответствует</w:t>
            </w:r>
          </w:p>
        </w:tc>
        <w:tc>
          <w:tcPr>
            <w:tcW w:w="2745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-</w:t>
            </w:r>
          </w:p>
        </w:tc>
        <w:tc>
          <w:tcPr>
            <w:tcW w:w="27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</w:pPr>
            <w:r>
              <w:rPr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 w:bidi="ru-RU"/>
              </w:rPr>
              <w:t>-</w:t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240" w:before="60" w:after="0"/>
        <w:ind w:left="0" w:hanging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0"/>
        </w:numPr>
        <w:spacing w:lineRule="auto" w:line="240" w:before="60" w:after="0"/>
        <w:ind w:left="0" w:hanging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 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Каменева Татьяна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Тимошенко Ирина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Гасевская Ольга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Овчинникова Екатерина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Просенюк Юлия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Лепшеева Анастасия Олеговна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Каменева Татьяна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Тимошенко Ирина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Гасевская Ольга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Овчинникова Екатерина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Просенюк Юлия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Лепшеева Анастасия Олеговна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7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Каменева Татьяна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Тимошенко Ирина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Гасевская Ольга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Овчинникова Екатерина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Просенюк Юлия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Лепшеева Анастасия Олеговна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Каменева Татьяна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Тимошенко Ирина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Гасевская Ольга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Овчинникова Екатерина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Просенюк Юлия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Лепшеева Анастасия Олеговна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6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Каменева Татьяна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Тимошенко Ирина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Гасевская Ольга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Овчинникова Екатерина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Просенюк Юлия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Лепшеева Анастасия Олеговна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Каменева Татьяна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Тимошенко Ирина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Гасевская Ольга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Овчинникова Екатерина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Просенюк Юлия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Лепшеева Анастасия Олеговна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ind w:hanging="0"/>
        <w:rPr>
          <w:rFonts w:eastAsia="Arial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z w:val="22"/>
          <w:szCs w:val="22"/>
          <w:lang w:val="ru-RU" w:eastAsia="ru-RU" w:bidi="ar-SA"/>
        </w:rPr>
      </w:pPr>
      <w:r>
        <w:rPr>
          <w:rFonts w:eastAsia="Arial"/>
          <w:b w:val="false"/>
          <w:bCs w:val="false"/>
          <w:i w:val="false"/>
          <w:caps w:val="false"/>
          <w:smallCaps w:val="false"/>
          <w:color w:val="000000"/>
          <w:sz w:val="22"/>
          <w:szCs w:val="22"/>
          <w:lang w:val="ru-RU" w:eastAsia="ru-RU" w:bidi="ar-SA"/>
        </w:rPr>
      </w:r>
    </w:p>
    <w:p>
      <w:pPr>
        <w:pStyle w:val="Normal"/>
        <w:widowControl w:val="false"/>
        <w:spacing w:lineRule="auto" w:line="240" w:before="60" w:after="0"/>
        <w:ind w:hanging="0"/>
        <w:rPr>
          <w:rFonts w:eastAsia="Arial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z w:val="22"/>
          <w:szCs w:val="22"/>
          <w:lang w:val="ru-RU" w:eastAsia="ru-RU" w:bidi="ar-SA"/>
        </w:rPr>
      </w:pPr>
      <w:r>
        <w:rPr>
          <w:rFonts w:eastAsia="Arial"/>
          <w:b w:val="false"/>
          <w:bCs w:val="false"/>
          <w:i w:val="false"/>
          <w:caps w:val="false"/>
          <w:smallCaps w:val="false"/>
          <w:color w:val="000000"/>
          <w:sz w:val="22"/>
          <w:szCs w:val="22"/>
          <w:lang w:val="ru-RU" w:eastAsia="ru-RU" w:bidi="ar-SA"/>
        </w:rPr>
        <w:t>12. На основании информации, содержащейся в прот</w:t>
      </w:r>
      <w:r>
        <w:rPr>
          <w:rFonts w:eastAsia="Times New Roman"/>
          <w:b w:val="false"/>
          <w:bCs w:val="false"/>
          <w:i w:val="false"/>
          <w:caps w:val="false"/>
          <w:smallCaps w:val="false"/>
          <w:color w:val="000000"/>
          <w:sz w:val="22"/>
          <w:szCs w:val="22"/>
          <w:lang w:val="ru-RU" w:eastAsia="ru-RU" w:bidi="ar-SA"/>
        </w:rPr>
        <w:t>околе подачи ценовых предложений, а также результатов рассмотрения</w:t>
      </w:r>
      <w:r>
        <w:rPr>
          <w:rFonts w:eastAsia="Arial" w:cs="Times New Roman"/>
          <w:b w:val="false"/>
          <w:bCs w:val="false"/>
          <w:i w:val="false"/>
          <w:caps w:val="false"/>
          <w:smallCaps w:val="false"/>
          <w:color w:val="000000"/>
          <w:sz w:val="22"/>
          <w:szCs w:val="22"/>
          <w:lang w:val="ru-RU" w:eastAsia="ru-RU" w:bidi="ar-SA"/>
        </w:rPr>
        <w:t>,</w:t>
      </w:r>
      <w:r>
        <w:rPr>
          <w:rFonts w:eastAsia="Arial"/>
          <w:b w:val="false"/>
          <w:bCs w:val="false"/>
          <w:i w:val="false"/>
          <w:caps w:val="false"/>
          <w:smallCaps w:val="false"/>
          <w:color w:val="000000"/>
          <w:sz w:val="22"/>
          <w:szCs w:val="22"/>
          <w:lang w:val="ru-RU" w:eastAsia="ru-RU" w:bidi="ar-SA"/>
        </w:rPr>
        <w:t xml:space="preserve"> комиссией присвоены порядковые номера заявкам, соответствующим извещению</w:t>
      </w:r>
      <w:r>
        <w:rPr>
          <w:rFonts w:eastAsia="Times New Roman"/>
          <w:b w:val="false"/>
          <w:bCs w:val="false"/>
          <w:i w:val="false"/>
          <w:caps w:val="false"/>
          <w:smallCaps w:val="false"/>
          <w:color w:val="000000"/>
          <w:sz w:val="22"/>
          <w:szCs w:val="22"/>
          <w:lang w:val="ru-RU" w:eastAsia="ru-RU" w:bidi="ar-SA"/>
        </w:rPr>
        <w:t xml:space="preserve"> </w:t>
      </w:r>
      <w:r>
        <w:rPr>
          <w:rFonts w:eastAsia="Arial"/>
          <w:b w:val="false"/>
          <w:bCs w:val="false"/>
          <w:i w:val="false"/>
          <w:caps w:val="false"/>
          <w:smallCaps w:val="false"/>
          <w:color w:val="000000"/>
          <w:sz w:val="22"/>
          <w:szCs w:val="22"/>
          <w:lang w:val="ru-RU" w:eastAsia="ru-RU" w:bidi="ar-SA"/>
        </w:rPr>
        <w:t>об осуществлении закупки</w:t>
      </w:r>
      <w:r>
        <w:rPr>
          <w:rFonts w:eastAsia="Times New Roman"/>
          <w:b w:val="false"/>
          <w:bCs w:val="false"/>
          <w:i w:val="false"/>
          <w:caps w:val="false"/>
          <w:smallCaps w:val="false"/>
          <w:color w:val="000000"/>
          <w:sz w:val="22"/>
          <w:szCs w:val="22"/>
          <w:lang w:val="ru-RU" w:eastAsia="ru-RU" w:bidi="ar-SA"/>
        </w:rPr>
        <w:t>:</w:t>
      </w:r>
    </w:p>
    <w:p>
      <w:pPr>
        <w:pStyle w:val="Normal"/>
        <w:widowControl w:val="false"/>
        <w:spacing w:lineRule="auto" w:line="240" w:before="60" w:after="0"/>
        <w:ind w:hanging="0"/>
        <w:rPr>
          <w:rFonts w:eastAsia="Arial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z w:val="22"/>
          <w:szCs w:val="22"/>
          <w:lang w:val="ru-RU" w:eastAsia="ru-RU" w:bidi="ar-SA"/>
        </w:rPr>
      </w:pPr>
      <w:r>
        <w:rPr>
          <w:rFonts w:eastAsia="Arial"/>
          <w:b w:val="false"/>
          <w:bCs w:val="false"/>
          <w:i w:val="false"/>
          <w:caps w:val="false"/>
          <w:smallCaps w:val="false"/>
          <w:color w:val="000000"/>
          <w:sz w:val="22"/>
          <w:szCs w:val="22"/>
          <w:lang w:val="ru-RU" w:eastAsia="ru-RU" w:bidi="ar-SA"/>
        </w:rPr>
      </w:r>
    </w:p>
    <w:tbl>
      <w:tblPr>
        <w:tblW w:w="10260" w:type="dxa"/>
        <w:jc w:val="left"/>
        <w:tblInd w:w="-49" w:type="dxa"/>
        <w:tblLayout w:type="fixed"/>
        <w:tblCellMar>
          <w:top w:w="0" w:type="dxa"/>
          <w:left w:w="5" w:type="dxa"/>
          <w:bottom w:w="0" w:type="dxa"/>
          <w:right w:w="0" w:type="dxa"/>
        </w:tblCellMar>
      </w:tblPr>
      <w:tblGrid>
        <w:gridCol w:w="2323"/>
        <w:gridCol w:w="3225"/>
        <w:gridCol w:w="4712"/>
      </w:tblGrid>
      <w:tr>
        <w:trPr/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napToGrid w:val="false"/>
              <w:spacing w:lineRule="exact" w:line="240" w:before="0" w:after="20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en-US" w:eastAsia="ru-RU" w:bidi="ar-SA"/>
              </w:rPr>
              <w:t>Порядковый номер, присвоенный комиссией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200"/>
              <w:ind w:left="0" w:right="0" w:hanging="0"/>
              <w:jc w:val="center"/>
              <w:rPr>
                <w:rFonts w:cs="Times New Roman"/>
                <w:b/>
                <w:b/>
                <w:lang w:val="en-US" w:eastAsia="ru-RU" w:bidi="ar-SA"/>
              </w:rPr>
            </w:pPr>
            <w:r>
              <w:rPr>
                <w:rFonts w:cs="Times New Roman"/>
                <w:b/>
                <w:lang w:val="en-US" w:eastAsia="ru-RU" w:bidi="ar-SA"/>
              </w:rPr>
              <w:t>Идентификационный номер заявки</w:t>
            </w:r>
          </w:p>
        </w:tc>
        <w:tc>
          <w:tcPr>
            <w:tcW w:w="4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200"/>
              <w:ind w:left="0" w:right="0" w:hanging="0"/>
              <w:jc w:val="center"/>
              <w:rPr>
                <w:rFonts w:cs="Times New Roman"/>
                <w:b/>
                <w:b/>
                <w:lang w:val="en-US" w:eastAsia="ru-RU" w:bidi="ar-SA"/>
              </w:rPr>
            </w:pPr>
            <w:r>
              <w:rPr>
                <w:rFonts w:cs="Times New Roman"/>
                <w:b/>
                <w:lang w:val="en-US" w:eastAsia="ru-RU" w:bidi="ar-SA"/>
              </w:rPr>
              <w:t>Предложение о цене контракта (руб)</w:t>
            </w:r>
          </w:p>
        </w:tc>
      </w:tr>
      <w:tr>
        <w:trPr>
          <w:trHeight w:val="113" w:hRule="atLeast"/>
        </w:trPr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200"/>
              <w:ind w:left="0" w:right="0" w:hanging="0"/>
              <w:jc w:val="center"/>
              <w:rPr>
                <w:rFonts w:cs="Times New Roman"/>
                <w:b w:val="false"/>
                <w:b w:val="false"/>
                <w:lang w:val="en-US" w:eastAsia="ru-RU" w:bidi="ar-SA"/>
              </w:rPr>
            </w:pPr>
            <w:r>
              <w:rPr>
                <w:rFonts w:cs="Times New Roman"/>
                <w:b w:val="false"/>
                <w:lang w:val="en-US" w:eastAsia="ru-RU" w:bidi="ar-SA"/>
              </w:rPr>
              <w:t>1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napToGrid w:val="false"/>
              <w:spacing w:before="0" w:after="200"/>
              <w:ind w:left="0" w:right="0" w:hanging="0"/>
              <w:jc w:val="center"/>
              <w:rPr>
                <w:rFonts w:eastAsia="Times New Roman" w:cs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4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705 004,62</w:t>
            </w:r>
          </w:p>
        </w:tc>
      </w:tr>
      <w:tr>
        <w:trPr>
          <w:trHeight w:val="113" w:hRule="atLeast"/>
        </w:trPr>
        <w:tc>
          <w:tcPr>
            <w:tcW w:w="23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200"/>
              <w:ind w:left="0" w:right="0" w:hanging="0"/>
              <w:jc w:val="center"/>
              <w:rPr>
                <w:rFonts w:cs="Times New Roman"/>
                <w:b w:val="false"/>
                <w:b w:val="false"/>
                <w:lang w:val="en-US" w:eastAsia="ru-RU" w:bidi="ar-SA"/>
              </w:rPr>
            </w:pPr>
            <w:r>
              <w:rPr>
                <w:rFonts w:cs="Times New Roman"/>
                <w:b w:val="false"/>
                <w:lang w:val="en-US" w:eastAsia="ru-RU" w:bidi="ar-SA"/>
              </w:rPr>
              <w:t>2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napToGrid w:val="false"/>
              <w:spacing w:before="0" w:after="200"/>
              <w:ind w:left="0" w:right="0" w:hanging="0"/>
              <w:jc w:val="center"/>
              <w:rPr>
                <w:rFonts w:eastAsia="Times New Roman" w:cs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4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705 004,62</w:t>
            </w:r>
          </w:p>
        </w:tc>
      </w:tr>
      <w:tr>
        <w:trPr>
          <w:trHeight w:val="113" w:hRule="atLeast"/>
        </w:trPr>
        <w:tc>
          <w:tcPr>
            <w:tcW w:w="23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200"/>
              <w:ind w:left="0" w:right="0" w:hanging="0"/>
              <w:jc w:val="center"/>
              <w:rPr>
                <w:rFonts w:cs="Times New Roman"/>
                <w:b w:val="false"/>
                <w:b w:val="false"/>
                <w:lang w:val="en-US" w:eastAsia="ru-RU" w:bidi="ar-SA"/>
              </w:rPr>
            </w:pPr>
            <w:r>
              <w:rPr>
                <w:rFonts w:cs="Times New Roman"/>
                <w:b w:val="false"/>
                <w:lang w:val="en-US" w:eastAsia="ru-RU" w:bidi="ar-SA"/>
              </w:rPr>
              <w:t>3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napToGrid w:val="false"/>
              <w:spacing w:before="0" w:after="200"/>
              <w:ind w:left="0" w:right="0" w:hanging="0"/>
              <w:jc w:val="center"/>
              <w:rPr>
                <w:rFonts w:eastAsia="Times New Roman" w:cs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4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710 004,20</w:t>
            </w:r>
          </w:p>
        </w:tc>
      </w:tr>
      <w:tr>
        <w:trPr>
          <w:trHeight w:val="113" w:hRule="atLeast"/>
        </w:trPr>
        <w:tc>
          <w:tcPr>
            <w:tcW w:w="23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200"/>
              <w:ind w:left="0" w:right="0" w:hanging="0"/>
              <w:jc w:val="center"/>
              <w:rPr>
                <w:rFonts w:cs="Times New Roman"/>
                <w:b w:val="false"/>
                <w:b w:val="false"/>
                <w:lang w:val="en-US" w:eastAsia="ru-RU" w:bidi="ar-SA"/>
              </w:rPr>
            </w:pPr>
            <w:r>
              <w:rPr>
                <w:rFonts w:cs="Times New Roman"/>
                <w:b w:val="false"/>
                <w:lang w:val="en-US" w:eastAsia="ru-RU" w:bidi="ar-SA"/>
              </w:rPr>
              <w:t>4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napToGrid w:val="false"/>
              <w:spacing w:before="0" w:after="200"/>
              <w:ind w:left="0" w:right="0" w:hanging="0"/>
              <w:jc w:val="center"/>
              <w:rPr>
                <w:rFonts w:eastAsia="Times New Roman" w:cs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4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760 000,00</w:t>
            </w:r>
          </w:p>
        </w:tc>
      </w:tr>
      <w:tr>
        <w:trPr>
          <w:trHeight w:val="113" w:hRule="atLeast"/>
        </w:trPr>
        <w:tc>
          <w:tcPr>
            <w:tcW w:w="23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200"/>
              <w:ind w:left="0" w:right="0" w:hanging="0"/>
              <w:jc w:val="center"/>
              <w:rPr>
                <w:rFonts w:cs="Times New Roman"/>
                <w:b w:val="false"/>
                <w:b w:val="false"/>
                <w:lang w:val="en-US" w:eastAsia="ru-RU" w:bidi="ar-SA"/>
              </w:rPr>
            </w:pPr>
            <w:r>
              <w:rPr>
                <w:rFonts w:cs="Times New Roman"/>
                <w:b w:val="false"/>
                <w:lang w:val="en-US" w:eastAsia="ru-RU" w:bidi="ar-SA"/>
              </w:rPr>
              <w:t>5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napToGrid w:val="false"/>
              <w:spacing w:before="0" w:after="200"/>
              <w:ind w:left="0" w:right="0" w:hanging="0"/>
              <w:jc w:val="center"/>
              <w:rPr>
                <w:rFonts w:eastAsia="Times New Roman" w:cs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4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939 920,80</w:t>
            </w:r>
          </w:p>
        </w:tc>
      </w:tr>
      <w:tr>
        <w:trPr>
          <w:trHeight w:val="113" w:hRule="atLeast"/>
        </w:trPr>
        <w:tc>
          <w:tcPr>
            <w:tcW w:w="23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200"/>
              <w:ind w:left="0" w:right="0" w:hanging="0"/>
              <w:jc w:val="center"/>
              <w:rPr>
                <w:rFonts w:cs="Times New Roman"/>
                <w:b w:val="false"/>
                <w:b w:val="false"/>
                <w:lang w:val="en-US" w:eastAsia="ru-RU" w:bidi="ar-SA"/>
              </w:rPr>
            </w:pPr>
            <w:r>
              <w:rPr>
                <w:rFonts w:cs="Times New Roman"/>
                <w:b w:val="false"/>
                <w:lang w:val="en-US" w:eastAsia="ru-RU" w:bidi="ar-SA"/>
              </w:rPr>
              <w:t>6</w:t>
            </w:r>
          </w:p>
        </w:tc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napToGrid w:val="false"/>
              <w:spacing w:before="0" w:after="200"/>
              <w:ind w:left="0" w:right="0" w:hanging="0"/>
              <w:jc w:val="center"/>
              <w:rPr>
                <w:rFonts w:eastAsia="Times New Roman" w:cs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4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999 915,75</w:t>
            </w:r>
          </w:p>
        </w:tc>
      </w:tr>
    </w:tbl>
    <w:p>
      <w:pPr>
        <w:pStyle w:val="Normal"/>
        <w:widowControl w:val="false"/>
        <w:ind w:left="0" w:right="0" w:hanging="0"/>
        <w:jc w:val="left"/>
        <w:textAlignment w:val="auto"/>
        <w:rPr>
          <w:rFonts w:eastAsia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z w:val="20"/>
          <w:szCs w:val="20"/>
          <w:lang w:val="ru-RU" w:eastAsia="ru-RU" w:bidi="ar-SA"/>
        </w:rPr>
      </w:pPr>
      <w:r>
        <w:rPr>
          <w:rFonts w:eastAsia="Times New Roman"/>
          <w:b w:val="false"/>
          <w:bCs w:val="false"/>
          <w:i w:val="false"/>
          <w:caps w:val="false"/>
          <w:smallCaps w:val="false"/>
          <w:color w:val="000000"/>
          <w:sz w:val="20"/>
          <w:szCs w:val="20"/>
          <w:lang w:val="ru-RU" w:eastAsia="ru-RU" w:bidi="ar-SA"/>
        </w:rPr>
      </w:r>
    </w:p>
    <w:p>
      <w:pPr>
        <w:pStyle w:val="Normal"/>
        <w:widowControl w:val="false"/>
        <w:bidi w:val="0"/>
        <w:spacing w:lineRule="atLeast" w:line="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z w:val="22"/>
          <w:szCs w:val="22"/>
          <w:u w:val="none" w:color="0000EE"/>
          <w:shd w:fill="auto" w:val="clear"/>
          <w:lang w:val="ru-RU" w:eastAsia="ru-RU" w:bidi="ar-SA"/>
        </w:rPr>
      </w:pPr>
      <w:r>
        <w:rPr>
          <w:rStyle w:val="AnyCharacter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2"/>
          <w:szCs w:val="22"/>
          <w:u w:val="none" w:color="0000EE"/>
          <w:shd w:fill="auto" w:val="clear"/>
          <w:lang w:val="ru-RU" w:eastAsia="ru-RU" w:bidi="ar-SA"/>
        </w:rPr>
        <w:t>В соответствии с п.1 ч. 4 ст.49 Закона №44 ФЗ, если несколькими участниками закупки поданы одинаковые ценовые предложения, меньший порядковый номер присваивается заявке на участие в закупке, поданной участником закупки, подавшим ценовое предложение ранее других таких участников закупки.</w:t>
      </w:r>
    </w:p>
    <w:p>
      <w:pPr>
        <w:pStyle w:val="Normal"/>
        <w:widowControl w:val="false"/>
        <w:bidi w:val="0"/>
        <w:spacing w:lineRule="atLeast" w:line="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z w:val="20"/>
          <w:szCs w:val="20"/>
          <w:u w:val="none" w:color="0000EE"/>
          <w:shd w:fill="auto" w:val="clear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0"/>
          <w:szCs w:val="20"/>
          <w:u w:val="none" w:color="0000EE"/>
          <w:shd w:fill="auto" w:val="clear"/>
          <w:lang w:val="ru-RU" w:eastAsia="ru-RU" w:bidi="ar-SA"/>
        </w:rPr>
      </w:r>
    </w:p>
    <w:p>
      <w:pPr>
        <w:pStyle w:val="Normal"/>
        <w:widowControl w:val="false"/>
        <w:spacing w:lineRule="auto" w:line="240" w:before="60" w:after="0"/>
        <w:ind w:hanging="0"/>
        <w:rPr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z w:val="22"/>
          <w:szCs w:val="22"/>
          <w:u w:val="none" w:color="0000EE"/>
          <w:lang w:val="ru-RU" w:eastAsia="ru-RU" w:bidi="ar-SA"/>
        </w:rPr>
      </w:pPr>
      <w:r>
        <w:rPr>
          <w:rStyle w:val="AnyCharacter"/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z w:val="22"/>
          <w:szCs w:val="22"/>
          <w:u w:val="none" w:color="0000EE"/>
          <w:lang w:val="ru-RU" w:eastAsia="ru-RU" w:bidi="ar-SA"/>
        </w:rPr>
        <w:t>13. Настоящий протокол подведения итогов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Лепшеева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00:F7:18:C0:EF:6E:1F:70:26:28:49:0F:4F:F0:DB:84:BC, действителен с 17.03.2026 12:57:15 по 10.06.2027 12:57:15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14:26:36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Тимошенко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00:81:ED:E1:8D:42:86:C6:89:BB:A5:A5:03:06:DD:0A:A0, действителен с 14.05.2026 06:21:42 по 07.08.2027 06:21:42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14:29:45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Каменева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61:E2:80:28:BB:D3:0E:19:90:10:DD:E1:C2:E0:24:4B, действителен с 30.04.2026 11:15:28 по 24.07.2027 11:15:28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14:44:01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"ОФТАЛЬМОЛОГИЧЕСКАЯ КЛИНИЧЕСКАЯ БОЛЬНИЦА - ОФТАЛЬМОЛОГИЧЕСКИЙ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Гасевская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00:A4:15:C9:B9:61:61:48:07:AF:D2:B1:E0:C2:2B:0D:D2, действителен с 02.07.2025 12:42:07 по 25.09.2026 12:42:07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14:46:29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"ОФТАЛЬМОЛОГИЧЕСКАЯ КЛИНИЧЕСКАЯ БОЛЬНИЦА - ОФТАЛЬМОЛОГИЧЕСКИЙ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Просенюк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00:A2:0D:E5:73:AB:57:B6:6B:79:7F:A1:A8:76:11:34:BD, действителен с 08.08.2025 12:59:55 по 01.11.2026 12:59:55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14:46:58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"ОФТАЛЬМОЛОГИЧЕСКАЯ КЛИНИЧЕСКАЯ БОЛЬНИЦА - ОФТАЛЬМОЛОГИЧЕСКИЙ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Овчинникова Екатерина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00:99:2A:51:84:6C:AA:3E:B8:8C:57:0B:67:39:05:AC:1E, действителен с 12.09.2025 13:30:15 по 06.12.2026 13:30:15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14:47:10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Лепшеева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00:F7:18:C0:EF:6E:1F:70:26:28:49:0F:4F:F0:DB:84:BC, действителен с 17.03.2026 12:57:15 по 10.06.2027 12:57:15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14:52:48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Style16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AnyCharacter">
    <w:name w:val="any Character"/>
    <w:basedOn w:val="DefaultParagraphFont"/>
    <w:qFormat/>
    <w:rPr>
      <w:rFonts w:ascii="Times New Roman" w:hAnsi="Times New Roman" w:eastAsia="Times New Roman" w:cs="Times New Roman"/>
      <w:sz w:val="20"/>
      <w:szCs w:val="20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2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3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7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8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9">
    <w:name w:val="Index Heading"/>
    <w:basedOn w:val="Style17"/>
    <w:pPr/>
    <w:rPr/>
  </w:style>
  <w:style w:type="paragraph" w:styleId="Style30">
    <w:name w:val="TOC Heading"/>
    <w:uiPriority w:val="39"/>
    <w:unhideWhenUsed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Style31">
    <w:name w:val="Содержимое таблицы"/>
    <w:basedOn w:val="Normal"/>
    <w:qFormat/>
    <w:pPr>
      <w:widowControl w:val="false"/>
      <w:suppressLineNumbers/>
    </w:pPr>
    <w:rPr/>
  </w:style>
  <w:style w:type="paragraph" w:styleId="Style32">
    <w:name w:val="Заголовок таблицы"/>
    <w:basedOn w:val="Style3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LibreOffice/7.4.4.2$Windows_x86 LibreOffice_project/85569322deea74ec9134968a29af2df5663baa21</Application>
  <AppVersion>15.0000</AppVersion>
  <Pages>7</Pages>
  <Words>615</Words>
  <Characters>4616</Characters>
  <CharactersWithSpaces>5051</CharactersWithSpaces>
  <Paragraphs>179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dcterms:modified xsi:type="dcterms:W3CDTF">2026-06-19T11:12:06Z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