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</w:p>
    <w:p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(0173100013526000005)</w:t>
      </w:r>
      <w:r>
        <w:rPr>
          <w:rFonts w:eastAsia="Times New Roman"/>
          <w:sz w:val="24"/>
          <w:szCs w:val="20"/>
          <w:lang w:eastAsia="ru-RU"/>
        </w:rPr>
      </w:r>
    </w:p>
    <w:p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noWrap w:val="false"/>
            <w:textDirection w:val="lrTb"/>
            <w:vAlign w:val="bottom"/>
          </w:tcPr>
          <w:p>
            <w:pPr>
              <w:pStyle w:val="847"/>
              <w:tabs>
                <w:tab w:val="left" w:pos="567" w:leader="none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noWrap w:val="false"/>
            <w:textDirection w:val="lrTb"/>
            <w:vAlign w:val="bottom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3372" w:type="dxa"/>
            <w:noWrap w:val="false"/>
            <w:textDirection w:val="lrTb"/>
          </w:tcPr>
          <w:p>
            <w:pPr>
              <w:pStyle w:val="847"/>
              <w:tabs>
                <w:tab w:val="left" w:pos="567" w:leader="none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0173100013526000005-2-1</w:t>
            </w:r>
            <w:r>
              <w:rPr>
                <w:rFonts w:cs="Times New Roman"/>
                <w:bCs/>
              </w:rPr>
            </w:r>
          </w:p>
        </w:tc>
      </w:tr>
      <w:tr>
        <w:trPr/>
        <w:tc>
          <w:tcPr>
            <w:tcW w:w="2835" w:type="dxa"/>
            <w:noWrap w:val="false"/>
            <w:textDirection w:val="lrTb"/>
            <w:vAlign w:val="bottom"/>
          </w:tcPr>
          <w:p>
            <w:pPr>
              <w:pStyle w:val="847"/>
              <w:tabs>
                <w:tab w:val="left" w:pos="567" w:leader="none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noWrap w:val="false"/>
            <w:textDirection w:val="lrTb"/>
            <w:vAlign w:val="bottom"/>
          </w:tcPr>
          <w:p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</w:t>
            </w:r>
            <w:r>
              <w:rPr>
                <w:bCs/>
              </w:rPr>
            </w:r>
          </w:p>
        </w:tc>
        <w:tc>
          <w:tcPr>
            <w:tcW w:w="3372" w:type="dxa"/>
            <w:noWrap w:val="false"/>
            <w:textDirection w:val="lrTb"/>
          </w:tcPr>
          <w:p>
            <w:pPr>
              <w:pStyle w:val="847"/>
              <w:tabs>
                <w:tab w:val="left" w:pos="567" w:leader="none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</w:p>
        </w:tc>
      </w:tr>
    </w:tbl>
    <w:p>
      <w:pPr>
        <w:pStyle w:val="847"/>
        <w:tabs>
          <w:tab w:val="left" w:pos="567" w:leader="none"/>
        </w:tabs>
        <w:spacing w:before="60" w:after="60" w:line="240" w:lineRule="auto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</w:p>
    <w:p>
      <w:pPr>
        <w:widowControl w:val="off"/>
        <w:numPr>
          <w:numId w:val="2"/>
          <w:ilvl w:val="0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АГЕНТСТВО ПО РЫБОЛОВСТВУ.</w:t>
      </w:r>
      <w:r>
        <w:rPr>
          <w:rFonts w:eastAsia="Times New Roman"/>
          <w:lang w:eastAsia="ru-RU"/>
        </w:rPr>
      </w:r>
    </w:p>
    <w:p>
      <w:pPr>
        <w:widowControl w:val="off"/>
        <w:numPr>
          <w:numId w:val="2"/>
          <w:ilvl w:val="0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noWrap w:val="false"/>
            <w:textDirection w:val="lrTb"/>
          </w:tcPr>
          <w:p>
            <w:pPr>
              <w:widowControl w:val="off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АГЕНТСТВО ПО РЫБОЛОВСТВУ</w:t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</w:tbl>
    <w:p>
      <w:pPr>
        <w:widowControl w:val="off"/>
        <w:numPr>
          <w:numId w:val="2"/>
          <w:ilvl w:val="0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261770267952377020100100250015829242.</w:t>
      </w:r>
      <w:r>
        <w:rPr>
          <w:rFonts w:eastAsia="Times New Roman"/>
          <w:lang w:eastAsia="ru-RU"/>
        </w:rPr>
      </w:r>
    </w:p>
    <w:p>
      <w:pPr>
        <w:widowControl w:val="off"/>
        <w:numPr>
          <w:numId w:val="2"/>
          <w:ilvl w:val="0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 xml:space="preserve">размещено 11.06.2026 14:18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</w:p>
    <w:p>
      <w:pPr>
        <w:widowControl w:val="off"/>
        <w:numPr>
          <w:numId w:val="2"/>
          <w:ilvl w:val="0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Предоставление программного обеспечения средства криптографической защиты информации  для нужд Федерального агентства по рыболовству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</w:p>
    <w:p>
      <w:pPr>
        <w:widowControl w:val="off"/>
        <w:numPr>
          <w:numId w:val="2"/>
          <w:ilvl w:val="0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1 125 000.00</w:t>
      </w:r>
      <w:r>
        <w:rPr>
          <w:rFonts w:eastAsia="Times New Roman"/>
          <w:lang w:eastAsia="ru-RU"/>
        </w:rPr>
      </w:r>
    </w:p>
    <w:p>
      <w:pPr>
        <w:widowControl w:val="off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>
      <w:pPr>
        <w:keepNext/>
        <w:widowControl w:val="off"/>
        <w:numPr>
          <w:numId w:val="2"/>
          <w:ilvl w:val="0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</w:p>
        </w:tc>
        <w:tc>
          <w:tcPr>
            <w:tcW w:w="2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</w:p>
        </w:tc>
      </w:tr>
      <w:tr>
        <w:trPr/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начальник Управления бюджетной политики и организации администрирования доходов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Пендеев Н. А.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организации закупочной деятельности Управления бюджетной политики и организации администрирования доходов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Горшенина М. А.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 отдела судебного процесса и договорной работы Управления правового обеспечения, государственной службы и кадров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Аверьянов Г. Н.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цифровой трансформации и проектной деятельности Административного управления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Белоусова Н. В.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 отдела организации закупочной деятельности Управления бюджетной политики и организации администрирования доходов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Городова С. И.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функционирования инфраструктуры центрального аппарата Административного управления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Карбовский Е. С.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отдела администрирования доходов Управления бюджетной политики и организации администрирования доходов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Константинова М. Ю.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судебного процесса и договорной работы Управления правового обеспечения, государственной службы и кадров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Румянцева М. А.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</w:p>
        </w:tc>
      </w:tr>
      <w:tr>
        <w:trPr/>
        <w:tc>
          <w:tcPr>
            <w:tcW w:w="2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советник отдела организации закупочной деятельности Управления бюджетной политики и организации администрирования доходов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2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Адамович Е. В.</w:t>
            </w:r>
            <w:r>
              <w:rPr>
                <w:rFonts w:eastAsia="Times New Roman"/>
                <w:lang w:eastAsia="ru-RU"/>
              </w:rPr>
            </w:r>
          </w:p>
        </w:tc>
        <w:tc>
          <w:tcPr>
            <w:tcW w:w="1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false"/>
            <w:textDirection w:val="lrTb"/>
            <w:vAlign w:val="center"/>
          </w:tcPr>
          <w:p>
            <w:pPr>
              <w:widowControl w:val="off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</w:p>
        </w:tc>
      </w:tr>
    </w:tbl>
    <w:p>
      <w:pPr>
        <w:widowControl w:val="off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6. Кворум имеется. Комиссия правомочна.</w:t>
      </w:r>
      <w:r>
        <w:rPr>
          <w:rFonts w:eastAsia="Times New Roman"/>
          <w:lang w:eastAsia="ru-RU"/>
        </w:rPr>
      </w:r>
    </w:p>
    <w:p>
      <w:pPr>
        <w:keepNext/>
        <w:widowControl w:val="off"/>
        <w:numPr>
          <w:numId w:val="2"/>
          <w:ilvl w:val="0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</w:p>
    <w:p>
      <w:pPr>
        <w:numPr>
          <w:numId w:val="2"/>
          <w:ilvl w:val="0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noWrap w:val="false"/>
            <w:textDirection w:val="lrTb"/>
            <w:vAlign w:val="center"/>
          </w:tcPr>
          <w:p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W w:w="1527" w:type="dxa"/>
            <w:noWrap w:val="false"/>
            <w:textDirection w:val="lrTb"/>
            <w:vAlign w:val="center"/>
          </w:tcPr>
          <w:p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  <w:p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W w:w="1559" w:type="dxa"/>
            <w:noWrap w:val="false"/>
            <w:textDirection w:val="lrTb"/>
            <w:vAlign w:val="center"/>
          </w:tcPr>
          <w:p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W w:w="2694" w:type="dxa"/>
            <w:noWrap w:val="false"/>
            <w:textDirection w:val="lrTb"/>
            <w:vAlign w:val="center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W w:w="1701" w:type="dxa"/>
            <w:noWrap w:val="false"/>
            <w:textDirection w:val="lrTb"/>
            <w:vAlign w:val="center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</w:p>
        </w:tc>
        <w:tc>
          <w:tcPr>
            <w:tcW w:w="1275" w:type="dxa"/>
            <w:noWrap w:val="false"/>
            <w:textDirection w:val="lrTb"/>
            <w:vAlign w:val="center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W w:w="1275" w:type="dxa"/>
            <w:noWrap w:val="false"/>
            <w:textDirection w:val="lrTb"/>
            <w:vAlign w:val="center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W w:w="1450" w:type="dxa"/>
            <w:noWrap w:val="false"/>
            <w:textDirection w:val="lrTb"/>
            <w:vAlign w:val="center"/>
          </w:tcPr>
          <w:p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27" w:type="dxa"/>
            <w:noWrap w:val="false"/>
            <w:textDirection w:val="lrTb"/>
            <w:vAlign w:val="center"/>
          </w:tcPr>
          <w:p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07:26:57 (MSK+00:00)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59" w:type="dxa"/>
            <w:noWrap w:val="false"/>
            <w:textDirection w:val="lrTb"/>
            <w:vAlign w:val="center"/>
          </w:tcPr>
          <w:p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2694" w:type="dxa"/>
            <w:noWrap w:val="false"/>
            <w:textDirection w:val="lrTb"/>
            <w:vAlign w:val="center"/>
          </w:tcPr>
          <w:p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701" w:type="dxa"/>
            <w:noWrap w:val="false"/>
            <w:textDirection w:val="lrTb"/>
            <w:vAlign w:val="center"/>
          </w:tcPr>
          <w:p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1 125 000.00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275" w:type="dxa"/>
            <w:noWrap w:val="false"/>
            <w:textDirection w:val="lrTb"/>
            <w:vAlign w:val="center"/>
          </w:tcPr>
          <w:p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275" w:type="dxa"/>
            <w:noWrap w:val="false"/>
            <w:textDirection w:val="lrTb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</w:tr>
    </w:tbl>
    <w:p>
      <w:pPr>
        <w:keepNext/>
        <w:widowControl w:val="off"/>
        <w:numPr>
          <w:numId w:val="2"/>
          <w:ilvl w:val="0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</w:p>
    <w:tbl>
      <w:tblPr>
        <w:tblW w:w="5000" w:type="pct"/>
        <w:tblBorders>
          <w:top w:val="single" w:color="000000" w:sz="1"/>
          <w:left w:val="single" w:color="000000" w:sz="1"/>
          <w:bottom w:val="single" w:color="000000" w:sz="1"/>
          <w:right w:val="single" w:color="000000" w:sz="1"/>
          <w:insideH w:val="single" w:color="000000" w:sz="1"/>
          <w:insideV w:val="single" w:color="000000" w:sz="1"/>
        </w:tblBorders>
        <w:tblLayout w:type="autofit"/>
        <w:tblCellMar>
          <w:left w:w="0" w:type="dxa"/>
          <w:top w:w="0" w:type="dxa"/>
          <w:right w:w="0" w:type="dxa"/>
          <w:bottom w:w="0" w:type="dxa"/>
        </w:tblCellMar>
      </w:tblPr>
      <w:tblGrid>
        <w:gridCol w:w="4819"/>
        <w:gridCol w:w="4819"/>
      </w:tblGrid>
      <w:tr>
        <w:trPr/>
        <w:tc>
          <w:tcPr>
            <w:tcW w:w="4819" w:type="dxa"/>
            <w:vMerge w:val="restart"/>
            <w:noWrap/>
            <w:vAlign w:val="top"/>
          </w:tcPr>
          <w:p>
            <w:pPr>
              <w:jc w:val="center"/>
            </w:pPr>
            <w:r>
              <w:rPr>
                <w:b/>
                <w:bCs/>
              </w:rPr>
              <w:t xml:space="preserve">Фамилия, имя, отчество</w:t>
            </w:r>
          </w:p>
        </w:tc>
        <w:tc>
          <w:tcPr>
            <w:tcW w:w="4819" w:type="dxa"/>
            <w:vMerge w:val="restart"/>
            <w:noWrap/>
            <w:vAlign w:val="top"/>
          </w:tcPr>
          <w:p>
            <w:pPr>
              <w:jc w:val="center"/>
            </w:pPr>
            <w:r>
              <w:rPr>
                <w:b/>
                <w:bCs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noWrap/>
            <w:vAlign w:val="center"/>
          </w:tcPr>
          <w:p>
            <w:pPr>
              <w:jc w:val="left"/>
            </w:pPr>
            <w:r>
              <w:t xml:space="preserve"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>
            <w:pPr>
              <w:jc w:val="left"/>
            </w:pPr>
            <w:r/>
          </w:p>
        </w:tc>
      </w:tr>
      <w:tr>
        <w:trPr/>
        <w:tc>
          <w:tcPr>
            <w:tcW w:w="4819" w:type="dxa"/>
            <w:noWrap/>
            <w:vAlign w:val="center"/>
          </w:tcPr>
          <w:p>
            <w:pPr>
              <w:jc w:val="left"/>
            </w:pPr>
            <w:r>
              <w:t xml:space="preserve">Пендеев Н. А.</w:t>
            </w:r>
          </w:p>
        </w:tc>
        <w:tc>
          <w:tcPr>
            <w:tcW w:w="4819" w:type="dxa"/>
            <w:noWrap/>
            <w:vAlign w:val="center"/>
          </w:tcPr>
          <w:p>
            <w:pPr>
              <w:jc w:val="left"/>
            </w:pPr>
            <w:r>
              <w:t xml:space="preserve">Соответствует
</w:t>
            </w:r>
          </w:p>
        </w:tc>
      </w:tr>
      <w:tr>
        <w:trPr/>
        <w:tc>
          <w:tcPr>
            <w:tcW w:w="4819" w:type="dxa"/>
            <w:noWrap/>
            <w:vAlign w:val="center"/>
          </w:tcPr>
          <w:p>
            <w:pPr>
              <w:jc w:val="left"/>
            </w:pPr>
            <w:r>
              <w:t xml:space="preserve">Горшенина М. А.</w:t>
            </w:r>
          </w:p>
        </w:tc>
        <w:tc>
          <w:tcPr>
            <w:tcW w:w="4819" w:type="dxa"/>
            <w:noWrap/>
            <w:vAlign w:val="center"/>
          </w:tcPr>
          <w:p>
            <w:pPr>
              <w:jc w:val="left"/>
            </w:pPr>
            <w:r>
              <w:t xml:space="preserve">Соответствует
</w:t>
            </w:r>
          </w:p>
        </w:tc>
      </w:tr>
      <w:tr>
        <w:trPr/>
        <w:tc>
          <w:tcPr>
            <w:tcW w:w="4819" w:type="dxa"/>
            <w:noWrap/>
            <w:vAlign w:val="center"/>
          </w:tcPr>
          <w:p>
            <w:pPr>
              <w:jc w:val="left"/>
            </w:pPr>
            <w:r>
              <w:t xml:space="preserve">Белоусова Н. В.</w:t>
            </w:r>
          </w:p>
        </w:tc>
        <w:tc>
          <w:tcPr>
            <w:tcW w:w="4819" w:type="dxa"/>
            <w:noWrap/>
            <w:vAlign w:val="center"/>
          </w:tcPr>
          <w:p>
            <w:pPr>
              <w:jc w:val="left"/>
            </w:pPr>
            <w:r>
              <w:t xml:space="preserve">Соответствует
</w:t>
            </w:r>
          </w:p>
        </w:tc>
      </w:tr>
      <w:tr>
        <w:trPr/>
        <w:tc>
          <w:tcPr>
            <w:tcW w:w="4819" w:type="dxa"/>
            <w:noWrap/>
            <w:vAlign w:val="center"/>
          </w:tcPr>
          <w:p>
            <w:pPr>
              <w:jc w:val="left"/>
            </w:pPr>
            <w:r>
              <w:t xml:space="preserve">Городова С. И.</w:t>
            </w:r>
          </w:p>
        </w:tc>
        <w:tc>
          <w:tcPr>
            <w:tcW w:w="4819" w:type="dxa"/>
            <w:noWrap/>
            <w:vAlign w:val="center"/>
          </w:tcPr>
          <w:p>
            <w:pPr>
              <w:jc w:val="left"/>
            </w:pPr>
            <w:r>
              <w:t xml:space="preserve">Соответствует
</w:t>
            </w:r>
          </w:p>
        </w:tc>
      </w:tr>
      <w:tr>
        <w:trPr/>
        <w:tc>
          <w:tcPr>
            <w:tcW w:w="4819" w:type="dxa"/>
            <w:noWrap/>
            <w:vAlign w:val="center"/>
          </w:tcPr>
          <w:p>
            <w:pPr>
              <w:jc w:val="left"/>
            </w:pPr>
            <w:r>
              <w:t xml:space="preserve">Константинова М. Ю.</w:t>
            </w:r>
          </w:p>
        </w:tc>
        <w:tc>
          <w:tcPr>
            <w:tcW w:w="4819" w:type="dxa"/>
            <w:noWrap/>
            <w:vAlign w:val="center"/>
          </w:tcPr>
          <w:p>
            <w:pPr>
              <w:jc w:val="left"/>
            </w:pPr>
            <w:r>
              <w:t xml:space="preserve">Соответствует
</w:t>
            </w:r>
          </w:p>
        </w:tc>
      </w:tr>
      <w:tr>
        <w:trPr/>
        <w:tc>
          <w:tcPr>
            <w:tcW w:w="4819" w:type="dxa"/>
            <w:noWrap/>
            <w:vAlign w:val="center"/>
          </w:tcPr>
          <w:p>
            <w:pPr>
              <w:jc w:val="left"/>
            </w:pPr>
            <w:r>
              <w:t xml:space="preserve">Румянцева М. А.</w:t>
            </w:r>
          </w:p>
        </w:tc>
        <w:tc>
          <w:tcPr>
            <w:tcW w:w="4819" w:type="dxa"/>
            <w:noWrap/>
            <w:vAlign w:val="center"/>
          </w:tcPr>
          <w:p>
            <w:pPr>
              <w:jc w:val="left"/>
            </w:pPr>
            <w:r>
              <w:t xml:space="preserve">Соответствует
</w:t>
            </w:r>
          </w:p>
        </w:tc>
      </w:tr>
    </w:tbl>
    <w:p>
      <w:pPr>
        <w:pStyle w:val="849"/>
        <w:keepNext/>
        <w:widowControl w:val="off"/>
        <w:numPr>
          <w:numId w:val="2"/>
          <w:ilvl w:val="0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</w:p>
    <w:p>
      <w:pPr>
        <w:pStyle w:val="849"/>
        <w:keepNext/>
        <w:widowControl w:val="off"/>
        <w:numPr>
          <w:numId w:val="2"/>
          <w:ilvl w:val="0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АГЕНТСТВО ПО РЫБОЛОВСТВУ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Городова Светлана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57:E5:F9:16:15:98:11:F9:8A:23:94:95:7C:DB:0A:D5, действителен с 03.04.2026 08:13:22 по 27.06.2027 08:13:22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14:59:00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АГЕНТСТВО ПО РЫБОЛОВСТВУ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Горшенина Марина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49:C8:85:F3:92:2F:70:17:4C:C9:FD:73:FD:4C:07:3A, действителен с 20.02.2026 09:20:02 по 16.05.2027 09:20:02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14:59:28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АГЕНТСТВО ПО РЫБОЛОВСТВУ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Белоусова Наталья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4D:84:CE:0D:36:6C:53:60:97:C3:33:0A:5E:AB:9A:88, действителен с 26.03.2026 09:02:44 по 19.06.2027 09:02:44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15:00:35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АГЕНТСТВО ПО РЫБОЛОВСТВУ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Константинова Марина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00:CA:D2:09:D1:D9:CB:FF:29:E4:90:01:5C:18:62:A8:F0, действителен с 20.03.2026 11:58:40 по 13.06.2027 11:58:40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15:13:00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АГЕНТСТВО ПО РЫБОЛОВСТВУ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Пендеев Николай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00:B4:16:0B:1D:3A:DD:AF:32:56:38:C1:72:83:BB:3F:98, действителен с 10.02.2026 11:13:24 по 06.05.2027 11:13:24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15:49:05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АГЕНТСТВО ПО РЫБОЛОВСТВУ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Румянцева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00:BC:48:82:CA:EB:96:CA:B5:41:D2:A0:CB:1E:4A:E4:21, действителен с 13.08.2025 11:59:14 по 06.11.2026 11:59:14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16:42:58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АГЕНТСТВО ПО РЫБОЛОВСТВУ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Горшенина Марина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49:C8:85:F3:92:2F:70:17:4C:C9:FD:73:FD:4C:07:3A, действителен с 20.02.2026 09:20:02 по 16.05.2027 09:20:02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16:43:37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tabs>
          <w:tab w:val="num" w:pos="360" w:leader="none"/>
        </w:tabs>
        <w:ind w:left="0" w:firstLine="0"/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Next/>
      <w:keepLines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Next/>
      <w:keepLines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Next/>
      <w:keepLines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Next/>
      <w:keepLines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Next/>
      <w:keepLines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Next/>
      <w:keepLines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Next/>
      <w:keepLines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Next/>
      <w:keepLines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Next/>
      <w:keepLines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spacing w:before="300"/>
      <w:contextualSpacing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tabs>
        <w:tab w:val="center" w:pos="7143" w:leader="none"/>
        <w:tab w:val="right" w:pos="14287" w:leader="none"/>
      </w:tabs>
      <w:spacing w:after="0" w:line="240" w:lineRule="auto"/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tabs>
        <w:tab w:val="center" w:pos="7143" w:leader="none"/>
        <w:tab w:val="right" w:pos="14287" w:leader="none"/>
      </w:tabs>
      <w:spacing w:after="0" w:line="240" w:lineRule="auto"/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  <w:shd w:val="clear" w:color="5d8ac2" w:themeColor="accent1" w:themeTint="EA" w:fill="5d8ac2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  <w:shd w:val="clear" w:color="9abb59" w:themeColor="accent3" w:themeTint="FE" w:fill="9abb59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7f7f7f" w:themeColor="text1" w:themeTint="80" w:fill="7f7f7f" w:themeFill="text1" w:themeFillTint="80"/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themeColor="accent2" w:themeTint="97" w:fill="d99695" w:themeFill="accent2" w:themeFillTint="97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695" w:themeColor="accent2" w:themeTint="97" w:fill="d996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themeColor="accent2" w:themeTint="97" w:fill="d996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D99695" w:themeColor="accent2" w:themeTint="97" w:sz="32" w:space="0"/>
          <w:bottom w:val="single" w:color="FFFFFF" w:themeColor="light1" w:sz="12" w:space="0"/>
        </w:tcBorders>
        <w:shd w:val="clear" w:color="d99695" w:themeColor="accent2" w:themeTint="97" w:fill="d99695" w:themeFill="accent2" w:themeFillTint="97"/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themeColor="accent3" w:themeTint="98" w:fill="c3d69b" w:themeFill="accent3" w:themeFillTint="98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b" w:themeColor="accent3" w:themeTint="98" w:fill="c3d69b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themeColor="accent3" w:themeTint="98" w:fill="c3d69b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C3D69B" w:themeColor="accent3" w:themeTint="98" w:sz="32" w:space="0"/>
          <w:bottom w:val="single" w:color="FFFFFF" w:themeColor="light1" w:sz="12" w:space="0"/>
        </w:tcBorders>
        <w:shd w:val="clear" w:color="c3d69b" w:themeColor="accent3" w:themeTint="98" w:fill="c3d69b" w:themeFill="accent3" w:themeFillTint="98"/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themeColor="light1" w:fill="ffffff" w:themeFill="light1"/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spacing w:after="57"/>
      <w:ind w:left="283"/>
    </w:pPr>
  </w:style>
  <w:style w:type="paragraph" w:styleId="838">
    <w:name w:val="toc 3"/>
    <w:basedOn w:val="668"/>
    <w:next w:val="668"/>
    <w:uiPriority w:val="39"/>
    <w:unhideWhenUsed/>
    <w:pPr>
      <w:spacing w:after="57"/>
      <w:ind w:left="567"/>
    </w:pPr>
  </w:style>
  <w:style w:type="paragraph" w:styleId="839">
    <w:name w:val="toc 4"/>
    <w:basedOn w:val="668"/>
    <w:next w:val="668"/>
    <w:uiPriority w:val="39"/>
    <w:unhideWhenUsed/>
    <w:pPr>
      <w:spacing w:after="57"/>
      <w:ind w:left="850"/>
    </w:pPr>
  </w:style>
  <w:style w:type="paragraph" w:styleId="840">
    <w:name w:val="toc 5"/>
    <w:basedOn w:val="668"/>
    <w:next w:val="668"/>
    <w:uiPriority w:val="39"/>
    <w:unhideWhenUsed/>
    <w:pPr>
      <w:spacing w:after="57"/>
      <w:ind w:left="1134"/>
    </w:pPr>
  </w:style>
  <w:style w:type="paragraph" w:styleId="841">
    <w:name w:val="toc 6"/>
    <w:basedOn w:val="668"/>
    <w:next w:val="668"/>
    <w:uiPriority w:val="39"/>
    <w:unhideWhenUsed/>
    <w:pPr>
      <w:spacing w:after="57"/>
      <w:ind w:left="1417"/>
    </w:pPr>
  </w:style>
  <w:style w:type="paragraph" w:styleId="842">
    <w:name w:val="toc 7"/>
    <w:basedOn w:val="668"/>
    <w:next w:val="668"/>
    <w:uiPriority w:val="39"/>
    <w:unhideWhenUsed/>
    <w:pPr>
      <w:spacing w:after="57"/>
      <w:ind w:left="1701"/>
    </w:pPr>
  </w:style>
  <w:style w:type="paragraph" w:styleId="843">
    <w:name w:val="toc 8"/>
    <w:basedOn w:val="668"/>
    <w:next w:val="668"/>
    <w:uiPriority w:val="39"/>
    <w:unhideWhenUsed/>
    <w:pPr>
      <w:spacing w:after="57"/>
      <w:ind w:left="1984"/>
    </w:pPr>
  </w:style>
  <w:style w:type="paragraph" w:styleId="844">
    <w:name w:val="toc 9"/>
    <w:basedOn w:val="668"/>
    <w:next w:val="668"/>
    <w:uiPriority w:val="39"/>
    <w:unhideWhenUsed/>
    <w:pPr>
      <w:spacing w:after="57"/>
      <w:ind w:left="2268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ind w:left="720"/>
      <w:contextualSpacing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