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lang w:val="en-US"/>
        </w:rPr>
      </w:pPr>
      <w:r>
        <w:rPr/>
        <w:object w:dxaOrig="900" w:dyaOrig="1005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47.25pt;height:48.2pt" filled="f" o:ole="">
            <v:imagedata r:id="rId3" o:title=""/>
          </v:shape>
          <o:OLEObject Type="Embed" ProgID="" ShapeID="ole_rId2" DrawAspect="Content" ObjectID="_918061373" r:id="rId2"/>
        </w:object>
      </w:r>
    </w:p>
    <w:p>
      <w:pPr>
        <w:pStyle w:val="BodyText"/>
        <w:jc w:val="center"/>
        <w:rPr>
          <w:b/>
          <w:bCs/>
          <w:lang w:val="ru-RU" w:eastAsia="ru-RU"/>
        </w:rPr>
      </w:pPr>
      <w:r>
        <w:rPr>
          <w:b/>
          <w:bCs/>
          <w:lang w:val="ru-RU" w:eastAsia="ru-RU"/>
        </w:rPr>
        <w:t>Федеральная служба</w:t>
      </w:r>
    </w:p>
    <w:p>
      <w:pPr>
        <w:pStyle w:val="BodyText"/>
        <w:jc w:val="center"/>
        <w:rPr>
          <w:b/>
          <w:bCs/>
          <w:lang w:val="ru-RU" w:eastAsia="ru-RU"/>
        </w:rPr>
      </w:pPr>
      <w:r>
        <w:rPr>
          <w:b/>
          <w:bCs/>
          <w:lang w:val="ru-RU" w:eastAsia="ru-RU"/>
        </w:rPr>
        <w:t>по надзору в сфере защиты прав потребителей и благополучия человека</w:t>
      </w:r>
    </w:p>
    <w:p>
      <w:pPr>
        <w:pStyle w:val="Normal"/>
        <w:jc w:val="center"/>
        <w:rPr>
          <w:b/>
          <w:bCs/>
          <w:sz w:val="18"/>
          <w:szCs w:val="18"/>
          <w:lang w:val="ru-RU" w:eastAsia="ru-RU"/>
        </w:rPr>
      </w:pPr>
      <w:r>
        <w:rPr>
          <w:b/>
          <w:bCs/>
          <w:sz w:val="18"/>
          <w:szCs w:val="18"/>
          <w:lang w:val="ru-RU" w:eastAsia="ru-RU"/>
        </w:rPr>
      </w:r>
    </w:p>
    <w:p>
      <w:pPr>
        <w:pStyle w:val="BodyText"/>
        <w:jc w:val="center"/>
        <w:rPr>
          <w:lang w:val="ru-RU" w:eastAsia="ru-RU"/>
        </w:rPr>
      </w:pPr>
      <w:r>
        <w:rPr>
          <w:lang w:val="ru-RU" w:eastAsia="ru-RU"/>
        </w:rPr>
        <w:t>Федеральное бюджетное учреждение здравоохранения</w:t>
      </w:r>
    </w:p>
    <w:p>
      <w:pPr>
        <w:pStyle w:val="Normal"/>
        <w:jc w:val="center"/>
        <w:rPr>
          <w:rFonts w:ascii="Arial CYR" w:hAnsi="Arial CYR" w:cs="Arial CYR"/>
          <w:b/>
          <w:bCs/>
        </w:rPr>
      </w:pPr>
      <w:r>
        <w:rPr>
          <w:rFonts w:cs="Arial CYR" w:ascii="Arial CYR" w:hAnsi="Arial CYR"/>
          <w:b/>
          <w:bCs/>
        </w:rPr>
        <w:t>«ЦЕНТР ГИГИЕНЫ И ЭПИДЕМИОЛОГИИ В НИЖЕГОРОДСКОЙ ОБЛАСТИ»</w:t>
      </w:r>
    </w:p>
    <w:p>
      <w:pPr>
        <w:pStyle w:val="Normal"/>
        <w:jc w:val="center"/>
        <w:rPr>
          <w:rFonts w:ascii="Arial CYR" w:hAnsi="Arial CYR" w:cs="Arial CYR"/>
          <w:b/>
          <w:bCs/>
        </w:rPr>
      </w:pPr>
      <w:r>
        <w:rPr>
          <w:rFonts w:cs="Arial CYR" w:ascii="Arial CYR" w:hAnsi="Arial CYR"/>
          <w:b/>
          <w:bCs/>
        </w:rPr>
      </w:r>
    </w:p>
    <w:p>
      <w:pPr>
        <w:pStyle w:val="Normal"/>
        <w:jc w:val="center"/>
        <w:rPr/>
      </w:pPr>
      <w:r>
        <w:rPr>
          <w:sz w:val="18"/>
          <w:szCs w:val="18"/>
        </w:rPr>
        <w:t xml:space="preserve">603022, </w:t>
      </w:r>
      <w:r>
        <w:rPr>
          <w:rFonts w:cs="Arial CYR" w:ascii="Arial CYR" w:hAnsi="Arial CYR"/>
          <w:sz w:val="18"/>
          <w:szCs w:val="18"/>
        </w:rPr>
        <w:t>Нижний Новгород, ул. Кулибина, 11</w:t>
      </w:r>
    </w:p>
    <w:p>
      <w:pPr>
        <w:pStyle w:val="Normal"/>
        <w:jc w:val="center"/>
        <w:rPr/>
      </w:pPr>
      <w:r>
        <w:rPr>
          <w:rFonts w:cs="Arial CYR" w:ascii="Arial CYR" w:hAnsi="Arial CYR"/>
          <w:sz w:val="18"/>
          <w:szCs w:val="18"/>
        </w:rPr>
        <w:t>Телефон: (831) 428-19-54</w:t>
      </w:r>
    </w:p>
    <w:p>
      <w:pPr>
        <w:pStyle w:val="Normal"/>
        <w:jc w:val="center"/>
        <w:rPr>
          <w:rFonts w:ascii="Arial CYR" w:hAnsi="Arial CYR" w:cs="Arial CYR"/>
          <w:sz w:val="18"/>
          <w:szCs w:val="18"/>
        </w:rPr>
      </w:pPr>
      <w:r>
        <w:rPr>
          <w:rFonts w:cs="Arial CYR" w:ascii="Arial CYR" w:hAnsi="Arial CYR"/>
          <w:sz w:val="18"/>
          <w:szCs w:val="18"/>
        </w:rPr>
        <w:t>Факс: (831) 433-98-34</w:t>
      </w:r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  <w:lang w:val="en-US"/>
        </w:rPr>
        <w:t>E</w:t>
      </w:r>
      <w:r>
        <w:rPr>
          <w:sz w:val="18"/>
          <w:szCs w:val="18"/>
        </w:rPr>
        <w:t>-</w:t>
      </w:r>
      <w:r>
        <w:rPr>
          <w:sz w:val="18"/>
          <w:szCs w:val="18"/>
          <w:lang w:val="en-US"/>
        </w:rPr>
        <w:t>mail</w:t>
      </w:r>
      <w:r>
        <w:rPr>
          <w:sz w:val="18"/>
          <w:szCs w:val="18"/>
        </w:rPr>
        <w:t xml:space="preserve">: </w:t>
      </w:r>
      <w:hyperlink r:id="rId4">
        <w:r>
          <w:rPr>
            <w:rStyle w:val="Hyperlink"/>
            <w:sz w:val="18"/>
            <w:szCs w:val="18"/>
            <w:lang w:val="en-US"/>
          </w:rPr>
          <w:t>csengor@cgie52.ru</w:t>
        </w:r>
      </w:hyperlink>
    </w:p>
    <w:p>
      <w:pPr>
        <w:pStyle w:val="Normal"/>
        <w:jc w:val="center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Headingcenter1"/>
        <w:rPr>
          <w:rFonts w:ascii="Arial CYR" w:hAnsi="Arial CYR" w:cs="Arial CYR"/>
          <w:sz w:val="18"/>
          <w:szCs w:val="18"/>
        </w:rPr>
      </w:pPr>
      <w:r>
        <w:rPr>
          <w:rFonts w:cs="Arial CYR" w:ascii="Arial CYR" w:hAnsi="Arial CYR"/>
          <w:sz w:val="18"/>
          <w:szCs w:val="18"/>
        </w:rPr>
        <w:t>ИНН 5262136833   ОКПО 76667928</w:t>
      </w:r>
    </w:p>
    <w:p>
      <w:pPr>
        <w:pStyle w:val="Headingcenter1"/>
        <w:rPr>
          <w:rFonts w:ascii="Arial CYR" w:hAnsi="Arial CYR" w:cs="Arial CYR"/>
          <w:sz w:val="18"/>
          <w:szCs w:val="18"/>
        </w:rPr>
      </w:pPr>
      <w:r>
        <w:rPr>
          <w:rFonts w:cs="Arial CYR" w:ascii="Arial CYR" w:hAnsi="Arial CYR"/>
          <w:sz w:val="18"/>
          <w:szCs w:val="18"/>
        </w:rPr>
      </w:r>
    </w:p>
    <w:p>
      <w:pPr>
        <w:pStyle w:val="Headingcenter1"/>
        <w:rPr>
          <w:sz w:val="24"/>
          <w:szCs w:val="24"/>
        </w:rPr>
      </w:pPr>
      <w:r>
        <w:rPr>
          <w:sz w:val="24"/>
          <w:szCs w:val="24"/>
          <w:lang w:val="en-US" w:eastAsia="en-US" w:bidi="en-US"/>
        </w:rPr>
        <w:t>Протокол № 48/ЭА/26</w:t>
      </w:r>
    </w:p>
    <w:p>
      <w:pPr>
        <w:pStyle w:val="Headingcenter1"/>
        <w:rPr>
          <w:sz w:val="24"/>
          <w:szCs w:val="24"/>
          <w:lang w:val="en-US" w:eastAsia="en-US" w:bidi="en-US"/>
        </w:rPr>
      </w:pPr>
      <w:r>
        <w:rPr>
          <w:sz w:val="24"/>
          <w:szCs w:val="24"/>
          <w:lang w:val="en-US" w:eastAsia="en-US" w:bidi="en-US"/>
        </w:rPr>
        <w:t xml:space="preserve">Протокол подведения итогов определения поставщика (подрядчика, исполнителя) </w:t>
      </w:r>
    </w:p>
    <w:p>
      <w:pPr>
        <w:pStyle w:val="Normal"/>
        <w:jc w:val="center"/>
        <w:rPr/>
      </w:pPr>
      <w:r>
        <w:rPr>
          <w:b/>
          <w:color w:val="000000"/>
          <w:sz w:val="20"/>
          <w:szCs w:val="20"/>
        </w:rPr>
        <w:t>(</w:t>
      </w:r>
      <w:r>
        <w:rPr>
          <w:b/>
          <w:i/>
          <w:color w:val="000000"/>
          <w:sz w:val="20"/>
          <w:szCs w:val="20"/>
        </w:rPr>
        <w:t>для субъектов малого предпринимательства</w:t>
      </w:r>
    </w:p>
    <w:p>
      <w:pPr>
        <w:pStyle w:val="Normal"/>
        <w:autoSpaceDE w:val="false"/>
        <w:jc w:val="center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b/>
          <w:i/>
          <w:color w:val="000000"/>
          <w:sz w:val="20"/>
          <w:szCs w:val="20"/>
        </w:rPr>
        <w:t>и социально ориентированных некоммерческих организаций</w:t>
      </w:r>
      <w:r>
        <w:rPr>
          <w:b/>
          <w:color w:val="000000"/>
          <w:sz w:val="20"/>
          <w:szCs w:val="20"/>
        </w:rPr>
        <w:t>)</w:t>
      </w:r>
    </w:p>
    <w:p>
      <w:pPr>
        <w:pStyle w:val="Normal"/>
        <w:autoSpaceDE w:val="false"/>
        <w:jc w:val="center"/>
        <w:rPr>
          <w:b/>
          <w:sz w:val="20"/>
          <w:szCs w:val="20"/>
        </w:rPr>
      </w:pPr>
      <w:r>
        <w:rPr>
          <w:sz w:val="20"/>
          <w:szCs w:val="20"/>
        </w:rPr>
        <w:t>(№ извещения 0332100016926000079)</w:t>
      </w:r>
    </w:p>
    <w:p>
      <w:pPr>
        <w:pStyle w:val="Normal"/>
        <w:autoSpaceDE w:val="false"/>
        <w:jc w:val="center"/>
        <w:rPr>
          <w:sz w:val="20"/>
          <w:szCs w:val="20"/>
        </w:rPr>
      </w:pPr>
      <w:r>
        <w:rPr>
          <w:sz w:val="20"/>
          <w:szCs w:val="20"/>
        </w:rPr>
        <w:t>Идентификационный код закупки: 26 15262136833526201001 0010 012 2651 244</w:t>
      </w:r>
    </w:p>
    <w:p>
      <w:pPr>
        <w:pStyle w:val="Normal"/>
        <w:autoSpaceDE w:val="false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7695" w:leader="none"/>
        </w:tabs>
        <w:jc w:val="both"/>
        <w:rPr/>
      </w:pPr>
      <w:r>
        <w:rPr/>
        <w:t>г. Нижний Новгород</w:t>
        <w:tab/>
        <w:t xml:space="preserve">                                                                                                    «10» августа 2026 года</w:t>
      </w:r>
    </w:p>
    <w:p>
      <w:pPr>
        <w:pStyle w:val="Normal"/>
        <w:tabs>
          <w:tab w:val="clear" w:pos="720"/>
          <w:tab w:val="left" w:pos="9045" w:leader="none"/>
        </w:tabs>
        <w:jc w:val="both"/>
        <w:rPr>
          <w:b/>
          <w:bCs/>
        </w:rPr>
      </w:pPr>
      <w:r>
        <w:rPr>
          <w:b/>
          <w:bCs/>
        </w:rPr>
      </w:r>
    </w:p>
    <w:p>
      <w:pPr>
        <w:pStyle w:val="Normal"/>
        <w:jc w:val="both"/>
        <w:rPr/>
      </w:pPr>
      <w:r>
        <w:rPr>
          <w:b/>
          <w:bCs/>
        </w:rPr>
        <w:t>Организатор:</w:t>
      </w:r>
      <w:r>
        <w:rPr/>
        <w:t xml:space="preserve"> Федеральное бюджетное учреждение здравоохранения «Центр гигиены и эпидемиологии в Нижегородской области»</w:t>
      </w:r>
    </w:p>
    <w:p>
      <w:pPr>
        <w:pStyle w:val="Normal"/>
        <w:jc w:val="both"/>
        <w:rPr/>
      </w:pPr>
      <w:r>
        <w:rPr>
          <w:b/>
          <w:bCs/>
        </w:rPr>
        <w:t>Заказчик:</w:t>
      </w:r>
      <w:r>
        <w:rPr/>
        <w:t xml:space="preserve"> Федеральное бюджетное учреждение здравоохранения «Центр гигиены и эпидемиологии в Нижегородской области» </w:t>
      </w:r>
    </w:p>
    <w:p>
      <w:pPr>
        <w:pStyle w:val="Normal"/>
        <w:jc w:val="both"/>
        <w:rPr/>
      </w:pPr>
      <w:r>
        <w:rPr>
          <w:b/>
          <w:iCs/>
        </w:rPr>
        <w:t>Место нахождения:</w:t>
      </w:r>
      <w:r>
        <w:rPr>
          <w:iCs/>
        </w:rPr>
        <w:t xml:space="preserve"> 603022, Россия,</w:t>
      </w:r>
      <w:r>
        <w:rPr/>
        <w:t xml:space="preserve"> г. Нижний Новгород, ул. Кулибина, д. 11.</w:t>
      </w:r>
    </w:p>
    <w:p>
      <w:pPr>
        <w:pStyle w:val="Normal"/>
        <w:autoSpaceDE w:val="false"/>
        <w:jc w:val="both"/>
        <w:rPr>
          <w:rFonts w:ascii="Times New Roman CYR" w:hAnsi="Times New Roman CYR" w:cs="Times New Roman CYR"/>
        </w:rPr>
      </w:pPr>
      <w:r>
        <w:rPr>
          <w:b/>
          <w:bCs/>
        </w:rPr>
        <w:t>Ответственное должностное лицо</w:t>
      </w:r>
      <w:r>
        <w:rPr/>
        <w:t>:</w:t>
      </w:r>
      <w:r>
        <w:rPr>
          <w:rFonts w:cs="Times New Roman CYR" w:ascii="Times New Roman CYR" w:hAnsi="Times New Roman CYR"/>
        </w:rPr>
        <w:t xml:space="preserve"> Маякина Марина Станиславовна </w:t>
      </w:r>
    </w:p>
    <w:p>
      <w:pPr>
        <w:pStyle w:val="Normal"/>
        <w:autoSpaceDE w:val="false"/>
        <w:jc w:val="both"/>
        <w:rPr>
          <w:rFonts w:ascii="Times New Roman CYR" w:hAnsi="Times New Roman CYR" w:cs="Times New Roman CYR"/>
        </w:rPr>
      </w:pPr>
      <w:r>
        <w:rPr>
          <w:rFonts w:cs="Times New Roman CYR" w:ascii="Times New Roman CYR" w:hAnsi="Times New Roman CYR"/>
        </w:rPr>
        <w:t>Контактный телефон: 8 (831) 200-34-97 доб. 231</w:t>
      </w:r>
      <w:r>
        <w:rPr>
          <w:color w:val="000000"/>
        </w:rPr>
        <w:t>/</w:t>
      </w:r>
      <w:r>
        <w:rPr/>
        <w:t xml:space="preserve"> </w:t>
      </w:r>
      <w:hyperlink r:id="rId5">
        <w:r>
          <w:rPr>
            <w:rStyle w:val="Hyperlink"/>
          </w:rPr>
          <w:t>zakupki@cgie52.ru</w:t>
        </w:r>
      </w:hyperlink>
      <w:r>
        <w:rPr>
          <w:color w:val="000000"/>
        </w:rPr>
        <w:t>.</w:t>
      </w:r>
    </w:p>
    <w:p>
      <w:pPr>
        <w:pStyle w:val="Normal"/>
        <w:jc w:val="both"/>
        <w:rPr/>
      </w:pPr>
      <w:r>
        <w:rPr>
          <w:b/>
        </w:rPr>
        <w:t>Способ определения поставщика (подрядчика/исполнителя):</w:t>
      </w:r>
      <w:r>
        <w:rPr/>
        <w:t xml:space="preserve"> </w:t>
      </w:r>
      <w:r>
        <w:rPr>
          <w:lang w:val="en-US" w:eastAsia="zh-CN"/>
        </w:rPr>
        <w:t>Электронный аукцион.</w:t>
      </w:r>
    </w:p>
    <w:p>
      <w:pPr>
        <w:pStyle w:val="Normal"/>
        <w:jc w:val="both"/>
        <w:rPr/>
      </w:pPr>
      <w:r>
        <w:rPr>
          <w:b/>
          <w:lang w:val="en-US" w:eastAsia="zh-CN"/>
        </w:rPr>
        <w:t>Наименование объекта закупки:</w:t>
      </w:r>
      <w:r>
        <w:rPr>
          <w:lang w:val="en-US" w:eastAsia="zh-CN"/>
        </w:rPr>
        <w:t xml:space="preserve"> </w:t>
      </w:r>
      <w:r>
        <w:rPr/>
        <w:t>Поставка лабораторного оборудования для проведения исследований (высокоэффективных жидкостных хроматографов) для ФБУЗ «Центр гигиены и эпидемиологии в Нижегородской области» по адресу: 603022, г. Нижний Новгород, ул. Кулибина, д.11, 3-й этаж (санитарно-гигиеническая лаборатория).</w:t>
      </w:r>
    </w:p>
    <w:p>
      <w:pPr>
        <w:pStyle w:val="Normal"/>
        <w:ind w:right="132"/>
        <w:jc w:val="both"/>
        <w:rPr/>
      </w:pPr>
      <w:r>
        <w:rPr>
          <w:rFonts w:cs="Times New Roman CYR" w:ascii="Times New Roman CYR" w:hAnsi="Times New Roman CYR"/>
        </w:rPr>
        <w:t xml:space="preserve">Начальная (максимальная) цена контракта: </w:t>
      </w:r>
      <w:bookmarkStart w:id="0" w:name="_Hlk210658878"/>
      <w:r>
        <w:rPr>
          <w:rFonts w:cs="Times New Roman CYR" w:ascii="Times New Roman CYR" w:hAnsi="Times New Roman CYR"/>
          <w:b/>
          <w:bCs/>
          <w:i/>
        </w:rPr>
        <w:t>21 282 701,20 руб. (Двадцать один миллион двести восемьдесят две тысячи семьсот один рубль 20 копеек).</w:t>
      </w:r>
    </w:p>
    <w:p>
      <w:pPr>
        <w:pStyle w:val="311"/>
        <w:tabs>
          <w:tab w:val="clear" w:pos="720"/>
          <w:tab w:val="left" w:pos="131" w:leader="none"/>
        </w:tabs>
        <w:spacing w:before="0" w:after="0"/>
        <w:ind w:left="0" w:right="135"/>
        <w:jc w:val="both"/>
        <w:rPr>
          <w:b/>
          <w:sz w:val="24"/>
          <w:szCs w:val="24"/>
          <w:lang w:val="ru-RU"/>
        </w:rPr>
      </w:pPr>
      <w:bookmarkEnd w:id="0"/>
      <w:r>
        <w:rPr>
          <w:sz w:val="24"/>
          <w:szCs w:val="24"/>
        </w:rPr>
        <w:t xml:space="preserve">Цена Контракта включает в себя: стоимость Товара, все расходы на перевозку, страхование, уплату таможенных пошлин, налогов, сборов и других обязательных платежей, а также </w:t>
      </w:r>
      <w:r>
        <w:rPr>
          <w:b/>
          <w:sz w:val="24"/>
          <w:szCs w:val="24"/>
        </w:rPr>
        <w:t>НДС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и иные расходы, связанные с исполнением контракта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(поверка, доставка, разгрузка, подъем, пуско-наладк</w:t>
      </w:r>
      <w:r>
        <w:rPr>
          <w:b/>
          <w:sz w:val="24"/>
          <w:szCs w:val="24"/>
          <w:lang w:val="ru-RU"/>
        </w:rPr>
        <w:t>а</w:t>
      </w:r>
      <w:r>
        <w:rPr>
          <w:b/>
          <w:sz w:val="24"/>
          <w:szCs w:val="24"/>
        </w:rPr>
        <w:t xml:space="preserve">, </w:t>
      </w:r>
      <w:r>
        <w:rPr>
          <w:b/>
          <w:bCs/>
          <w:color w:val="000000"/>
          <w:sz w:val="24"/>
          <w:szCs w:val="24"/>
        </w:rPr>
        <w:t xml:space="preserve">ввод в эксплуатацию </w:t>
      </w:r>
      <w:r>
        <w:rPr>
          <w:b/>
          <w:sz w:val="24"/>
          <w:szCs w:val="24"/>
        </w:rPr>
        <w:t xml:space="preserve">Товара по адресу: 603022, г. Нижний Новгород, ул. Кулибина, д.11, </w:t>
      </w:r>
      <w:r>
        <w:rPr>
          <w:b/>
          <w:sz w:val="24"/>
          <w:szCs w:val="24"/>
          <w:lang w:val="ru-RU"/>
        </w:rPr>
        <w:t>3</w:t>
      </w:r>
      <w:r>
        <w:rPr>
          <w:b/>
          <w:sz w:val="24"/>
          <w:szCs w:val="24"/>
        </w:rPr>
        <w:t>-й этаж (санитарно-гигиенической лаборатори</w:t>
      </w:r>
      <w:r>
        <w:rPr>
          <w:b/>
          <w:sz w:val="24"/>
          <w:szCs w:val="24"/>
          <w:lang w:val="ru-RU"/>
        </w:rPr>
        <w:t>я</w:t>
      </w:r>
      <w:r>
        <w:rPr>
          <w:b/>
          <w:sz w:val="24"/>
          <w:szCs w:val="24"/>
        </w:rPr>
        <w:t xml:space="preserve">),  инструктаж </w:t>
      </w:r>
      <w:r>
        <w:rPr>
          <w:b/>
          <w:bCs/>
          <w:color w:val="000000"/>
          <w:sz w:val="24"/>
          <w:szCs w:val="24"/>
        </w:rPr>
        <w:t xml:space="preserve">специалистов </w:t>
      </w:r>
      <w:r>
        <w:rPr>
          <w:b/>
          <w:sz w:val="24"/>
          <w:szCs w:val="24"/>
        </w:rPr>
        <w:t>Заказчика по работе на прибор</w:t>
      </w:r>
      <w:r>
        <w:rPr>
          <w:b/>
          <w:sz w:val="24"/>
          <w:szCs w:val="24"/>
          <w:lang w:val="ru-RU"/>
        </w:rPr>
        <w:t xml:space="preserve">ах и </w:t>
      </w:r>
      <w:r>
        <w:rPr>
          <w:b/>
          <w:sz w:val="24"/>
          <w:szCs w:val="24"/>
        </w:rPr>
        <w:t>установк</w:t>
      </w:r>
      <w:r>
        <w:rPr>
          <w:b/>
          <w:sz w:val="24"/>
          <w:szCs w:val="24"/>
          <w:lang w:val="ru-RU"/>
        </w:rPr>
        <w:t>а</w:t>
      </w:r>
      <w:r>
        <w:rPr>
          <w:b/>
          <w:sz w:val="24"/>
          <w:szCs w:val="24"/>
        </w:rPr>
        <w:t xml:space="preserve"> (настройк</w:t>
      </w:r>
      <w:r>
        <w:rPr>
          <w:b/>
          <w:sz w:val="24"/>
          <w:szCs w:val="24"/>
          <w:lang w:val="ru-RU"/>
        </w:rPr>
        <w:t>а</w:t>
      </w:r>
      <w:r>
        <w:rPr>
          <w:b/>
          <w:sz w:val="24"/>
          <w:szCs w:val="24"/>
        </w:rPr>
        <w:t>) параметров оборудования под проведение исследований по методикам, входящим в область аккредитации Заказчика, в том числе: М 04-10-2007 "Методика измерений массовой доли витаминов А (в форме ретинола) и Е (в форме альфа-токоферола) в пробах пищевых продуктов, продовольственного сырья и БАД методом ВЭЖХ с флуориметрическим детектированием с использованием жидкостного хроматографа "Люмахром", М 04-32-2004 «Продукты пищевые и продовольственное сырье, БАД, комбикорма и сырье для их производства. Методика измерений массовой доли афлатоксина В1 методом ВЭЖХ с флуориметрическим детектированием с использованием жидкостного хроматографа "Люмахром"», М 04-42-2009 «Продукты пищевые и продовольственное сырье, БАД, комбикорма и сырье для их производства. Методика измерений массовой доли охратоксина А методом ВЭЖХ с флуориметрическим детектированием с использованием жидкостного хроматографа "Люмахром"», М 04-45-2007 «МВИ массовой доли дезоксиниваленола в пробах продовольственного зерна, мукомольно-крупяных изделий, комбикормах и сырье для их производства методом ВЭЖХ с фотометрическим детектированием с использованием жидкостного хроматографа "Люмахром"», построени</w:t>
      </w:r>
      <w:r>
        <w:rPr>
          <w:b/>
          <w:sz w:val="24"/>
          <w:szCs w:val="24"/>
          <w:lang w:val="ru-RU"/>
        </w:rPr>
        <w:t>е</w:t>
      </w:r>
      <w:r>
        <w:rPr>
          <w:b/>
          <w:sz w:val="24"/>
          <w:szCs w:val="24"/>
        </w:rPr>
        <w:t xml:space="preserve"> пробных градуировочных характеристик на витамин А (в форме ретинола), витамин Е (в форме альфа-токоферола), афлатоксин В1, охратоксин А, дезоксиниваленол.</w:t>
      </w:r>
      <w:r>
        <w:rPr>
          <w:b/>
          <w:sz w:val="24"/>
          <w:szCs w:val="24"/>
          <w:lang w:val="ru-RU"/>
        </w:rPr>
        <w:t xml:space="preserve"> Стандартные образцы </w:t>
      </w:r>
      <w:r>
        <w:rPr>
          <w:b/>
          <w:sz w:val="24"/>
          <w:szCs w:val="24"/>
        </w:rPr>
        <w:t>витамин</w:t>
      </w:r>
      <w:r>
        <w:rPr>
          <w:b/>
          <w:sz w:val="24"/>
          <w:szCs w:val="24"/>
          <w:lang w:val="ru-RU"/>
        </w:rPr>
        <w:t>а</w:t>
      </w:r>
      <w:r>
        <w:rPr>
          <w:b/>
          <w:sz w:val="24"/>
          <w:szCs w:val="24"/>
        </w:rPr>
        <w:t xml:space="preserve"> А (в форме ретинола), витамин</w:t>
      </w:r>
      <w:r>
        <w:rPr>
          <w:b/>
          <w:sz w:val="24"/>
          <w:szCs w:val="24"/>
          <w:lang w:val="ru-RU"/>
        </w:rPr>
        <w:t>а</w:t>
      </w:r>
      <w:r>
        <w:rPr>
          <w:b/>
          <w:sz w:val="24"/>
          <w:szCs w:val="24"/>
        </w:rPr>
        <w:t xml:space="preserve"> Е (в форме альфа-токоферола)</w:t>
      </w:r>
      <w:r>
        <w:rPr>
          <w:b/>
          <w:sz w:val="24"/>
          <w:szCs w:val="24"/>
          <w:lang w:val="ru-RU"/>
        </w:rPr>
        <w:t xml:space="preserve"> предоставляются Заказчиком).</w:t>
      </w:r>
    </w:p>
    <w:p>
      <w:pPr>
        <w:pStyle w:val="Normal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</w:r>
    </w:p>
    <w:p>
      <w:pPr>
        <w:pStyle w:val="Normal"/>
        <w:jc w:val="both"/>
        <w:rPr/>
      </w:pPr>
      <w:r>
        <w:rPr>
          <w:lang w:val="en-US" w:eastAsia="zh-CN"/>
        </w:rPr>
        <w:t>На заседании Комиссии по осуществлению закупок ФБУЗ «Центр гигиены и эпидемиологии в Нижегородской области»</w:t>
      </w:r>
      <w:r>
        <w:rPr>
          <w:lang w:eastAsia="zh-CN"/>
        </w:rPr>
        <w:t xml:space="preserve"> (</w:t>
      </w:r>
      <w:r>
        <w:rPr>
          <w:i/>
          <w:lang w:eastAsia="zh-CN"/>
        </w:rPr>
        <w:t>далее – Комиссия</w:t>
      </w:r>
      <w:r>
        <w:rPr>
          <w:lang w:eastAsia="zh-CN"/>
        </w:rPr>
        <w:t>)</w:t>
      </w:r>
      <w:r>
        <w:rPr>
          <w:lang w:val="en-US" w:eastAsia="zh-CN"/>
        </w:rPr>
        <w:t xml:space="preserve"> </w:t>
      </w:r>
      <w:r>
        <w:rPr>
          <w:lang w:eastAsia="zh-CN"/>
        </w:rPr>
        <w:t xml:space="preserve">по рассмотрению заявок </w:t>
      </w:r>
      <w:r>
        <w:rPr>
          <w:lang w:val="en-US" w:eastAsia="zh-CN"/>
        </w:rPr>
        <w:t xml:space="preserve">на участие в электронном аукционе присутствовали: </w:t>
      </w:r>
    </w:p>
    <w:tbl>
      <w:tblPr>
        <w:tblpPr w:vertAnchor="text" w:horzAnchor="margin" w:rightFromText="180" w:tblpX="0" w:tblpY="122"/>
        <w:tblW w:w="1059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5"/>
        <w:gridCol w:w="5103"/>
      </w:tblGrid>
      <w:tr>
        <w:trPr>
          <w:trHeight w:val="426" w:hRule="atLeast"/>
        </w:trPr>
        <w:tc>
          <w:tcPr>
            <w:tcW w:w="5495" w:type="dxa"/>
            <w:tcBorders/>
            <w:vAlign w:val="center"/>
          </w:tcPr>
          <w:p>
            <w:pPr>
              <w:pStyle w:val="Normal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Председатель Комиссии:</w:t>
            </w:r>
          </w:p>
        </w:tc>
        <w:tc>
          <w:tcPr>
            <w:tcW w:w="5103" w:type="dxa"/>
            <w:tcBorders/>
            <w:vAlign w:val="center"/>
          </w:tcPr>
          <w:p>
            <w:pPr>
              <w:pStyle w:val="Normal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Чадова Ирина Михайловна</w:t>
            </w:r>
          </w:p>
        </w:tc>
      </w:tr>
      <w:tr>
        <w:trPr>
          <w:trHeight w:val="397" w:hRule="atLeast"/>
        </w:trPr>
        <w:tc>
          <w:tcPr>
            <w:tcW w:w="5495" w:type="dxa"/>
            <w:tcBorders/>
            <w:vAlign w:val="center"/>
          </w:tcPr>
          <w:p>
            <w:pPr>
              <w:pStyle w:val="Normal"/>
              <w:rPr/>
            </w:pPr>
            <w:r>
              <w:rPr>
                <w:bCs/>
                <w:lang w:eastAsia="zh-CN"/>
              </w:rPr>
              <w:t xml:space="preserve">Члены Комиссии  </w:t>
            </w:r>
          </w:p>
        </w:tc>
        <w:tc>
          <w:tcPr>
            <w:tcW w:w="5103" w:type="dxa"/>
            <w:tcBorders/>
            <w:vAlign w:val="center"/>
          </w:tcPr>
          <w:p>
            <w:pPr>
              <w:pStyle w:val="Normal"/>
              <w:tabs>
                <w:tab w:val="clear" w:pos="720"/>
                <w:tab w:val="left" w:pos="2552" w:leader="none"/>
                <w:tab w:val="left" w:pos="3686" w:leader="none"/>
              </w:tabs>
              <w:spacing w:lineRule="auto" w:line="360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Болтаевская Марина Евгеньевна</w:t>
            </w:r>
          </w:p>
        </w:tc>
      </w:tr>
      <w:tr>
        <w:trPr>
          <w:trHeight w:val="155" w:hRule="atLeast"/>
        </w:trPr>
        <w:tc>
          <w:tcPr>
            <w:tcW w:w="5495" w:type="dxa"/>
            <w:tcBorders/>
            <w:vAlign w:val="center"/>
          </w:tcPr>
          <w:p>
            <w:pPr>
              <w:pStyle w:val="Normal"/>
              <w:snapToGrid w:val="false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</w:r>
          </w:p>
        </w:tc>
        <w:tc>
          <w:tcPr>
            <w:tcW w:w="5103" w:type="dxa"/>
            <w:tcBorders/>
            <w:vAlign w:val="center"/>
          </w:tcPr>
          <w:p>
            <w:pPr>
              <w:pStyle w:val="Normal"/>
              <w:tabs>
                <w:tab w:val="clear" w:pos="720"/>
                <w:tab w:val="left" w:pos="2552" w:leader="none"/>
                <w:tab w:val="left" w:pos="3686" w:leader="none"/>
              </w:tabs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Лузина Евгения Константиновна</w:t>
            </w:r>
          </w:p>
        </w:tc>
      </w:tr>
      <w:tr>
        <w:trPr>
          <w:trHeight w:val="397" w:hRule="atLeast"/>
        </w:trPr>
        <w:tc>
          <w:tcPr>
            <w:tcW w:w="5495" w:type="dxa"/>
            <w:tcBorders/>
            <w:vAlign w:val="center"/>
          </w:tcPr>
          <w:p>
            <w:pPr>
              <w:pStyle w:val="Normal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Секретарь Комиссии:</w:t>
            </w:r>
          </w:p>
        </w:tc>
        <w:tc>
          <w:tcPr>
            <w:tcW w:w="5103" w:type="dxa"/>
            <w:tcBorders/>
            <w:vAlign w:val="center"/>
          </w:tcPr>
          <w:p>
            <w:pPr>
              <w:pStyle w:val="Normal"/>
              <w:rPr>
                <w:lang w:eastAsia="zh-CN"/>
              </w:rPr>
            </w:pPr>
            <w:r>
              <w:rPr>
                <w:lang w:eastAsia="zh-CN"/>
              </w:rPr>
              <w:t>Климова Юлия Александровна</w:t>
            </w:r>
          </w:p>
        </w:tc>
      </w:tr>
    </w:tbl>
    <w:p>
      <w:pPr>
        <w:pStyle w:val="Normal"/>
        <w:rPr/>
      </w:pPr>
      <w:r/>
      <w:r>
        <w:rPr/>
        <w:t>Всего на заседании присутствовало 4 члена(ов) комиссии. Кворум имеется.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 xml:space="preserve">Извещение об электронном аукционе размещено в единой информационной системе в сфере закупок (официальный сайт </w:t>
      </w:r>
      <w:hyperlink r:id="rId6">
        <w:r>
          <w:rPr>
            <w:rStyle w:val="Hyperlink"/>
            <w:color w:val="0000FF"/>
          </w:rPr>
          <w:t>http://zakupki.gov.ru</w:t>
        </w:r>
      </w:hyperlink>
      <w:r>
        <w:rPr/>
        <w:t xml:space="preserve">) и на сайте оператора электронной площадки </w:t>
      </w:r>
      <w:r>
        <w:rPr>
          <w:color w:val="000000"/>
        </w:rPr>
        <w:t>«Фабрикант</w:t>
      </w:r>
      <w:r>
        <w:rPr/>
        <w:t xml:space="preserve">» по адресу в сети интернет </w:t>
      </w:r>
      <w:r>
        <w:rPr>
          <w:color w:val="0000FF"/>
          <w:u w:val="single"/>
        </w:rPr>
        <w:t>https://www.fabrikant.ru</w:t>
      </w:r>
      <w:r>
        <w:rPr/>
        <w:t xml:space="preserve"> «27» июля 2026 года.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 xml:space="preserve">До указанного в извещении о проведении аукциона даты и времени окончания срока подачи заявок на участие в электронном аукционе «06» августа 2026 года 08:00 часов </w:t>
      </w:r>
      <w:r>
        <w:rPr>
          <w:i/>
        </w:rPr>
        <w:t>(по московскому времени)</w:t>
      </w:r>
      <w:r>
        <w:rPr/>
        <w:t xml:space="preserve"> поступила 1 (одна) заявка на участие в электронном аукционе.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Комиссия рассмотрела информацию и документы, направленные оператором электронной площадки в соответствии с пунктом 4 части 4 статьи 49 Федерального закона № 44-ФЗ, и приняла следующее решение:</w:t>
      </w:r>
    </w:p>
    <w:tbl>
      <w:tblPr>
        <w:tblW w:w="5100" w:type="pct"/>
        <w:jc w:val="left"/>
        <w:tblInd w:w="-127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843"/>
      </w:tblGrid>
      <w:tr>
        <w:trPr/>
        <w:tc>
          <w:tcPr>
            <w:tcW w:w="10843" w:type="dxa"/>
            <w:tcBorders/>
            <w:vAlign w:val="center"/>
          </w:tcPr>
          <w:p>
            <w:pPr>
              <w:pStyle w:val="Normal"/>
              <w:jc w:val="center"/>
              <w:rPr/>
            </w:pPr>
            <w:r>
              <w:rPr/>
              <w:t>Общие сведения об итогах закупки</w:t>
            </w:r>
          </w:p>
        </w:tc>
      </w:tr>
      <w:tr>
        <w:trPr/>
        <w:tc>
          <w:tcPr>
            <w:tcW w:w="10843" w:type="dxa"/>
            <w:tcBorders/>
            <w:vAlign w:val="center"/>
          </w:tcPr>
          <w:tbl>
            <w:tblPr>
              <w:tblW w:w="10842" w:type="dxa"/>
              <w:jc w:val="left"/>
              <w:tblInd w:w="0" w:type="dxa"/>
              <w:tblLayout w:type="fixed"/>
              <w:tblCellMar>
                <w:top w:w="52" w:type="dxa"/>
                <w:left w:w="52" w:type="dxa"/>
                <w:bottom w:w="52" w:type="dxa"/>
                <w:right w:w="52" w:type="dxa"/>
              </w:tblCellMar>
            </w:tblPr>
            <w:tblGrid>
              <w:gridCol w:w="2077"/>
              <w:gridCol w:w="1533"/>
              <w:gridCol w:w="1585"/>
              <w:gridCol w:w="1026"/>
              <w:gridCol w:w="1438"/>
              <w:gridCol w:w="1572"/>
              <w:gridCol w:w="1611"/>
            </w:tblGrid>
            <w:tr>
              <w:trPr>
                <w:tblHeader w:val="true"/>
              </w:trPr>
              <w:tc>
                <w:tcPr>
                  <w:tcW w:w="2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ind w:right="-15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  <w:t xml:space="preserve">Идентификационный номер заявки </w:t>
                  </w:r>
                </w:p>
              </w:tc>
              <w:tc>
                <w:tcPr>
                  <w:tcW w:w="15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ind w:right="-15"/>
                    <w:jc w:val="center"/>
                    <w:rPr/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  <w:t xml:space="preserve">Дата и время подачи заявки 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ind w:right="-15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  <w:t xml:space="preserve">Предложение о цене контракта, руб. </w:t>
                  </w:r>
                </w:p>
              </w:tc>
              <w:tc>
                <w:tcPr>
                  <w:tcW w:w="10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ind w:right="-15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  <w:t xml:space="preserve">Процент снижения цены </w:t>
                  </w:r>
                </w:p>
              </w:tc>
              <w:tc>
                <w:tcPr>
                  <w:tcW w:w="14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ind w:right="-15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  <w:t xml:space="preserve">Порядковый номер заявки, присвоенный оператором 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ind w:right="-15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  <w:t xml:space="preserve">Порядковый номер заявки, присвоенный организатором </w:t>
                  </w:r>
                </w:p>
              </w:tc>
              <w:tc>
                <w:tcPr>
                  <w:tcW w:w="1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ind w:right="-15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  <w:t xml:space="preserve">Результат рассмотрения </w:t>
                  </w:r>
                </w:p>
              </w:tc>
            </w:tr>
            <w:tr>
              <w:trPr/>
              <w:tc>
                <w:tcPr>
                  <w:tcW w:w="20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LO-normal1"/>
                    <w:widowControl w:val="false"/>
                    <w:jc w:val="center"/>
                    <w:rPr>
                      <w:rFonts w:eastAsia="Times New Roman" w:cs="Times New Roman"/>
                      <w:color w:val="000000"/>
                    </w:rPr>
                  </w:pPr>
                  <w:r>
                    <w:rPr>
                      <w:rFonts w:eastAsia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15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>
                  <w:pPr>
                    <w:pStyle w:val="Normal"/>
                    <w:jc w:val="center"/>
                    <w:rPr/>
                  </w:pPr>
                  <w:r>
                    <w:rPr/>
                    <w:t>05.08.2026 11:24:30</w:t>
                  </w:r>
                </w:p>
              </w:tc>
              <w:tc>
                <w:tcPr>
                  <w:tcW w:w="15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/>
                  </w:pPr>
                  <w:r>
                    <w:rPr/>
                    <w:t>21 282 701.20</w:t>
                  </w:r>
                </w:p>
              </w:tc>
              <w:tc>
                <w:tcPr>
                  <w:tcW w:w="102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/>
                  </w:pPr>
                  <w:r>
                    <w:rPr/>
                    <w:t>0.00 %</w:t>
                  </w:r>
                </w:p>
              </w:tc>
              <w:tc>
                <w:tcPr>
                  <w:tcW w:w="14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/>
                  </w:pPr>
                  <w:r>
                    <w:rPr/>
                    <w:t>1</w:t>
                  </w:r>
                </w:p>
              </w:tc>
              <w:tc>
                <w:tcPr>
                  <w:tcW w:w="15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/>
                  </w:pPr>
                  <w:r>
                    <w:rPr/>
                    <w:t>1</w:t>
                  </w:r>
                </w:p>
              </w:tc>
              <w:tc>
                <w:tcPr>
                  <w:tcW w:w="16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/>
                  </w:pPr>
                  <w:r>
                    <w:rPr/>
                    <w:t>Соответствует</w:t>
                  </w:r>
                </w:p>
              </w:tc>
            </w:tr>
          </w:tbl>
          <w:p>
            <w:pPr>
              <w:pStyle w:val="Normal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</w:r>
          </w:p>
        </w:tc>
      </w:tr>
      <w:tr>
        <w:trPr/>
        <w:tc>
          <w:tcPr>
            <w:tcW w:w="10843" w:type="dxa"/>
            <w:tcBorders/>
            <w:vAlign w:val="center"/>
          </w:tcPr>
          <w:p>
            <w:pPr>
              <w:pStyle w:val="Normal"/>
              <w:snapToGrid w:val="false"/>
              <w:jc w:val="center"/>
              <w:rPr>
                <w:b/>
                <w:bCs/>
                <w:color w:val="000000"/>
                <w:lang w:val="en-US" w:eastAsia="en-US" w:bidi="en-US"/>
              </w:rPr>
            </w:pPr>
            <w:r>
              <w:rPr>
                <w:b/>
                <w:bCs/>
                <w:color w:val="000000"/>
                <w:lang w:val="en-US" w:eastAsia="en-US" w:bidi="en-US"/>
              </w:rPr>
            </w:r>
          </w:p>
          <w:p>
            <w:pPr>
              <w:pStyle w:val="Normal"/>
              <w:jc w:val="center"/>
              <w:rPr/>
            </w:pPr>
            <w:r>
              <w:rPr/>
              <w:t>Информация о принятом решении каждым членом комиссии</w:t>
            </w:r>
          </w:p>
        </w:tc>
      </w:tr>
      <w:tr>
        <w:trPr/>
        <w:tc>
          <w:tcPr>
            <w:tcW w:w="10843" w:type="dxa"/>
            <w:tcBorders/>
            <w:vAlign w:val="center"/>
          </w:tcPr>
          <w:tbl>
            <w:tblPr>
              <w:tblW w:w="10762" w:type="dxa"/>
              <w:jc w:val="left"/>
              <w:tblInd w:w="1" w:type="dxa"/>
              <w:tblLayout w:type="fixed"/>
              <w:tblCellMar>
                <w:top w:w="52" w:type="dxa"/>
                <w:left w:w="52" w:type="dxa"/>
                <w:bottom w:w="52" w:type="dxa"/>
                <w:right w:w="52" w:type="dxa"/>
              </w:tblCellMar>
            </w:tblPr>
            <w:tblGrid>
              <w:gridCol w:w="2202"/>
              <w:gridCol w:w="5833"/>
              <w:gridCol w:w="2727"/>
            </w:tblGrid>
            <w:tr>
              <w:trPr>
                <w:tblHeader w:val="true"/>
              </w:trPr>
              <w:tc>
                <w:tcPr>
                  <w:tcW w:w="220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>
                  <w:pPr>
                    <w:pStyle w:val="Normal"/>
                    <w:ind w:right="-15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  <w:t xml:space="preserve">Идентификационный номер заявки </w:t>
                  </w:r>
                </w:p>
              </w:tc>
              <w:tc>
                <w:tcPr>
                  <w:tcW w:w="58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>
                  <w:pPr>
                    <w:pStyle w:val="Normal"/>
                    <w:ind w:right="-15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  <w:t xml:space="preserve">Ф.И.О. члена комиссии / Общее решение </w:t>
                  </w:r>
                </w:p>
              </w:tc>
              <w:tc>
                <w:tcPr>
                  <w:tcW w:w="27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>
                  <w:pPr>
                    <w:pStyle w:val="Normal"/>
                    <w:ind w:right="-15"/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  <w:lang w:val="en-US" w:eastAsia="en-US" w:bidi="en-US"/>
                    </w:rPr>
                    <w:t xml:space="preserve">Решение по заявке </w:t>
                  </w:r>
                </w:p>
              </w:tc>
            </w:tr>
            <w:tr>
              <w:trPr/>
              <w:tc>
                <w:tcPr>
                  <w:tcW w:w="2202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>
                  <w:pPr>
                    <w:pStyle w:val="LO-normal1"/>
                    <w:widowControl w:val="false"/>
                    <w:jc w:val="center"/>
                    <w:rPr>
                      <w:rFonts w:eastAsia="Times New Roman" w:cs="Times New Roman"/>
                      <w:color w:val="000000"/>
                    </w:rPr>
                  </w:pPr>
                  <w:r>
                    <w:rPr>
                      <w:rFonts w:eastAsia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58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Чадова Ирина Михайловна</w:t>
                  </w:r>
                </w:p>
              </w:tc>
              <w:tc>
                <w:tcPr>
                  <w:tcW w:w="27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/>
                  </w:pPr>
                  <w:r>
                    <w:rPr/>
                    <w:t>Соответствует</w:t>
                  </w:r>
                </w:p>
              </w:tc>
            </w:tr>
            <w:tr>
              <w:trPr>
                <w:trHeight w:val="23" w:hRule="atLeast"/>
              </w:trPr>
              <w:tc>
                <w:tcPr>
                  <w:tcW w:w="2202" w:type="dxa"/>
                  <w:vMerge w:val="continue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>
                  <w:pPr>
                    <w:pStyle w:val="LO-normal1"/>
                    <w:widowControl w:val="false"/>
                    <w:snapToGrid w:val="false"/>
                    <w:jc w:val="center"/>
                    <w:rPr>
                      <w:rFonts w:eastAsia="Times New Roman" w:cs="Times New Roman"/>
                      <w:color w:val="000000"/>
                    </w:rPr>
                  </w:pPr>
                  <w:r>
                    <w:rPr>
                      <w:rFonts w:eastAsia="Times New Roman" w:cs="Times New Roman"/>
                      <w:color w:val="000000"/>
                    </w:rPr>
                  </w:r>
                </w:p>
              </w:tc>
              <w:tc>
                <w:tcPr>
                  <w:tcW w:w="58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>
                  <w:pPr>
                    <w:pStyle w:val="Normal"/>
                    <w:tabs>
                      <w:tab w:val="clear" w:pos="720"/>
                      <w:tab w:val="left" w:pos="2552" w:leader="none"/>
                      <w:tab w:val="left" w:pos="3686" w:leader="none"/>
                    </w:tabs>
                    <w:jc w:val="center"/>
                    <w:rPr>
                      <w:bCs/>
                      <w:lang w:eastAsia="zh-CN"/>
                    </w:rPr>
                  </w:pPr>
                  <w:r>
                    <w:rPr>
                      <w:bCs/>
                      <w:lang w:eastAsia="zh-CN"/>
                    </w:rPr>
                    <w:t>Болтаевская Марина Евгеньевна</w:t>
                  </w:r>
                </w:p>
              </w:tc>
              <w:tc>
                <w:tcPr>
                  <w:tcW w:w="27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/>
                  </w:pPr>
                  <w:r>
                    <w:rPr/>
                    <w:t>Соответствует</w:t>
                  </w:r>
                </w:p>
              </w:tc>
            </w:tr>
            <w:tr>
              <w:trPr>
                <w:trHeight w:val="23" w:hRule="atLeast"/>
              </w:trPr>
              <w:tc>
                <w:tcPr>
                  <w:tcW w:w="2202" w:type="dxa"/>
                  <w:vMerge w:val="continue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/>
                  </w:pPr>
                  <w:r>
                    <w:rPr/>
                  </w:r>
                </w:p>
              </w:tc>
              <w:tc>
                <w:tcPr>
                  <w:tcW w:w="5833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vAlign w:val="center"/>
                </w:tcPr>
                <w:p>
                  <w:pPr>
                    <w:pStyle w:val="Normal"/>
                    <w:tabs>
                      <w:tab w:val="clear" w:pos="720"/>
                      <w:tab w:val="left" w:pos="2552" w:leader="none"/>
                      <w:tab w:val="left" w:pos="3686" w:leader="none"/>
                    </w:tabs>
                    <w:jc w:val="center"/>
                    <w:rPr>
                      <w:bCs/>
                      <w:lang w:eastAsia="zh-CN"/>
                    </w:rPr>
                  </w:pPr>
                  <w:r>
                    <w:rPr>
                      <w:bCs/>
                      <w:lang w:eastAsia="zh-CN"/>
                    </w:rPr>
                    <w:t>Лузина Евгения Константиновна</w:t>
                  </w:r>
                </w:p>
              </w:tc>
              <w:tc>
                <w:tcPr>
                  <w:tcW w:w="2727" w:type="dxa"/>
                  <w:tcBorders>
                    <w:top w:val="single" w:sz="6" w:space="0" w:color="000000"/>
                    <w:left w:val="single" w:sz="6" w:space="0" w:color="000000"/>
                    <w:right w:val="single" w:sz="6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/>
                  </w:pPr>
                  <w:r>
                    <w:rPr/>
                    <w:t>Соответствует</w:t>
                  </w:r>
                </w:p>
              </w:tc>
            </w:tr>
            <w:tr>
              <w:trPr/>
              <w:tc>
                <w:tcPr>
                  <w:tcW w:w="2202" w:type="dxa"/>
                  <w:vMerge w:val="continue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jc w:val="center"/>
                    <w:rPr/>
                  </w:pPr>
                  <w:r>
                    <w:rPr/>
                  </w:r>
                </w:p>
              </w:tc>
              <w:tc>
                <w:tcPr>
                  <w:tcW w:w="58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/>
                  </w:pPr>
                  <w:r>
                    <w:rPr/>
                    <w:t>Климова Юлия Александровна</w:t>
                  </w:r>
                </w:p>
              </w:tc>
              <w:tc>
                <w:tcPr>
                  <w:tcW w:w="27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/>
                  </w:pPr>
                  <w:r>
                    <w:rPr/>
                    <w:t>Соответствует</w:t>
                  </w:r>
                </w:p>
              </w:tc>
            </w:tr>
            <w:tr>
              <w:trPr/>
              <w:tc>
                <w:tcPr>
                  <w:tcW w:w="2202" w:type="dxa"/>
                  <w:vMerge w:val="continue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>
                  <w:pPr>
                    <w:pStyle w:val="Normal"/>
                    <w:snapToGrid w:val="false"/>
                    <w:rPr>
                      <w:color w:val="000000"/>
                      <w:lang w:val="en-US" w:eastAsia="en-US" w:bidi="en-US"/>
                    </w:rPr>
                  </w:pPr>
                  <w:r>
                    <w:rPr>
                      <w:color w:val="000000"/>
                      <w:lang w:val="en-US" w:eastAsia="en-US" w:bidi="en-US"/>
                    </w:rPr>
                  </w:r>
                </w:p>
              </w:tc>
              <w:tc>
                <w:tcPr>
                  <w:tcW w:w="58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Cs/>
                      <w:color w:val="000000"/>
                      <w:lang w:val="en-US" w:eastAsia="en-US" w:bidi="en-US"/>
                    </w:rPr>
                  </w:pPr>
                  <w:r>
                    <w:rPr>
                      <w:b/>
                      <w:bCs/>
                      <w:color w:val="000000"/>
                      <w:lang w:val="en-US" w:eastAsia="en-US" w:bidi="en-US"/>
                    </w:rPr>
                    <w:t xml:space="preserve">Общее решение </w:t>
                  </w:r>
                </w:p>
              </w:tc>
              <w:tc>
                <w:tcPr>
                  <w:tcW w:w="2727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</w:tcPr>
                <w:p>
                  <w:pPr>
                    <w:pStyle w:val="Normal"/>
                    <w:jc w:val="center"/>
                    <w:rPr>
                      <w:b/>
                      <w:bCs/>
                      <w:color w:val="000000"/>
                      <w:lang w:val="en-US" w:eastAsia="en-US" w:bidi="en-US"/>
                    </w:rPr>
                  </w:pPr>
                  <w:r>
                    <w:rPr>
                      <w:b/>
                      <w:bCs/>
                      <w:color w:val="000000"/>
                      <w:lang w:val="en-US" w:eastAsia="en-US" w:bidi="en-US"/>
                    </w:rPr>
                    <w:t xml:space="preserve">Соответствует </w:t>
                  </w:r>
                </w:p>
              </w:tc>
            </w:tr>
          </w:tbl>
          <w:p>
            <w:pPr>
              <w:pStyle w:val="Normal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</w:r>
          </w:p>
        </w:tc>
      </w:tr>
      <w:tr>
        <w:trPr/>
        <w:tc>
          <w:tcPr>
            <w:tcW w:w="10843" w:type="dxa"/>
            <w:tcBorders/>
            <w:tcMar>
              <w:bottom w:w="150" w:type="dxa"/>
            </w:tcMar>
            <w:vAlign w:val="center"/>
          </w:tcPr>
          <w:p>
            <w:pPr>
              <w:pStyle w:val="Normal"/>
              <w:spacing w:lineRule="auto" w:line="276" w:before="240" w:after="240"/>
              <w:ind w:firstLine="708" w:right="0"/>
              <w:jc w:val="both"/>
              <w:rPr/>
            </w:pPr>
            <w:r>
              <w:rPr/>
              <w:t>В соответствии с пунктом 1 части 1 статьи 52 Федерального закона 44-ФЗ, электронный аукцион признан несостоявшимся, так как по окончании срока подачи заявок на участие в закупке подана только одна заявка на участие в закупке.</w:t>
            </w:r>
          </w:p>
          <w:p>
            <w:pPr>
              <w:pStyle w:val="Normal"/>
              <w:autoSpaceDE w:val="false"/>
              <w:spacing w:lineRule="auto" w:line="276" w:before="240" w:after="240"/>
              <w:ind w:firstLine="708" w:right="0"/>
              <w:jc w:val="both"/>
              <w:rPr/>
            </w:pPr>
            <w:r>
              <w:rPr>
                <w:color w:val="000000"/>
              </w:rPr>
              <w:t>Ограничение в отношении товаров российского происхождения, установленное в соответствии с абзацем 2 пункта 1 Постановления Правительства Российской Федерации от 23 декабря 2024 г. N 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не применяется, так как подана только одна заявка на участие в закупке.</w:t>
            </w:r>
          </w:p>
          <w:p>
            <w:pPr>
              <w:pStyle w:val="Normal"/>
              <w:autoSpaceDE w:val="false"/>
              <w:spacing w:lineRule="auto" w:line="276" w:before="240" w:after="240"/>
              <w:ind w:firstLine="708" w:right="0"/>
              <w:jc w:val="both"/>
              <w:rPr/>
            </w:pPr>
            <w:r>
              <w:rPr>
                <w:lang w:val="en-US" w:eastAsia="en-US" w:bidi="en-US"/>
              </w:rPr>
              <w:t xml:space="preserve">По результатам подведения итогов определения поставщика (подрядчика, исполнителя) победителем электронного аукциона признается участник закупки с </w:t>
            </w:r>
            <w:r>
              <w:rPr>
                <w:b/>
                <w:bCs/>
                <w:lang w:val="en-US" w:eastAsia="en-US" w:bidi="en-US"/>
              </w:rPr>
              <w:t xml:space="preserve">идентификационным номером заявки – </w:t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lang w:val="en-US" w:eastAsia="en-US" w:bidi="en-US"/>
              </w:rPr>
              <w:t>,</w:t>
            </w:r>
            <w:r>
              <w:rPr>
                <w:lang w:val="en-US" w:eastAsia="en-US" w:bidi="en-US"/>
              </w:rPr>
              <w:t xml:space="preserve"> заявка на участие в закупке которого соответствует требованиям, установленным в извещении об осуществлении закупки, с предложением о цене контракта – </w:t>
            </w:r>
            <w:r>
              <w:rPr>
                <w:rFonts w:cs="Times New Roman CYR" w:ascii="Times New Roman CYR" w:hAnsi="Times New Roman CYR"/>
                <w:b/>
                <w:bCs/>
              </w:rPr>
              <w:t>21 282 701.20 руб. (Двадцать один миллион двести восемьдесят две тысячи семьсот один рубль 20 копеек).</w:t>
            </w:r>
          </w:p>
          <w:p>
            <w:pPr>
              <w:pStyle w:val="Normal"/>
              <w:autoSpaceDE w:val="false"/>
              <w:spacing w:lineRule="auto" w:line="276" w:before="240" w:after="240"/>
              <w:ind w:firstLine="708" w:right="0"/>
              <w:jc w:val="both"/>
              <w:rPr/>
            </w:pPr>
            <w:r>
              <w:rPr/>
              <w:t>Контракт заключается в соответствии с пунктом 25 части 1 статьи 93 Федерального закона №</w:t>
            </w:r>
            <w:r>
              <w:rPr>
                <w:b/>
                <w:bCs/>
              </w:rPr>
              <w:t> </w:t>
            </w:r>
            <w:r>
              <w:rPr/>
              <w:t>44-ФЗ в порядке, установленным статьей 51 Федерального закона от 05.04.2013 № 44-ФЗ.</w:t>
            </w:r>
          </w:p>
          <w:p>
            <w:pPr>
              <w:pStyle w:val="Normal"/>
              <w:autoSpaceDE w:val="false"/>
              <w:spacing w:lineRule="auto" w:line="276" w:before="240" w:after="240"/>
              <w:ind w:firstLine="708" w:right="0"/>
              <w:jc w:val="both"/>
              <w:rPr/>
            </w:pPr>
            <w:r>
              <w:rPr/>
      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>
      <w:pPr>
        <w:pStyle w:val="Usual1"/>
        <w:spacing w:before="0" w:after="200"/>
        <w:rPr>
          <w:b/>
          <w:bCs/>
          <w:lang w:val="en-US" w:eastAsia="en-US" w:bidi="en-US"/>
        </w:rPr>
      </w:pPr>
      <w:r>
        <w:rPr>
          <w:b/>
          <w:bCs/>
          <w:lang w:val="en-US" w:eastAsia="en-US" w:bidi="en-US"/>
        </w:rPr>
      </w:r>
    </w:p>
    <w:p>
      <w:pPr>
        <w:pStyle w:val="Usual1"/>
        <w:spacing w:before="0" w:after="200"/>
        <w:rPr/>
      </w:pPr>
      <w:r>
        <w:rPr/>
        <w:t xml:space="preserve">Комиссия: </w:t>
      </w:r>
    </w:p>
    <w:tbl>
      <w:tblPr>
        <w:tblW w:w="5250" w:type="pct"/>
        <w:jc w:val="left"/>
        <w:tblInd w:w="-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3516"/>
        <w:gridCol w:w="2530"/>
        <w:gridCol w:w="5116"/>
      </w:tblGrid>
      <w:tr>
        <w:trPr/>
        <w:tc>
          <w:tcPr>
            <w:tcW w:w="3516" w:type="dxa"/>
            <w:tcBorders/>
          </w:tcPr>
          <w:p>
            <w:pPr>
              <w:pStyle w:val="Normal"/>
              <w:spacing w:lineRule="auto" w:line="480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Председатель комиссии</w:t>
            </w:r>
          </w:p>
        </w:tc>
        <w:tc>
          <w:tcPr>
            <w:tcW w:w="2530" w:type="dxa"/>
            <w:tcBorders/>
          </w:tcPr>
          <w:p>
            <w:pPr>
              <w:pStyle w:val="Any"/>
              <w:spacing w:lineRule="auto" w:line="480"/>
              <w:ind w:left="720" w:right="0"/>
              <w:jc w:val="center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 xml:space="preserve">_____________ </w:t>
            </w:r>
          </w:p>
        </w:tc>
        <w:tc>
          <w:tcPr>
            <w:tcW w:w="5116" w:type="dxa"/>
            <w:tcBorders/>
            <w:vAlign w:val="center"/>
          </w:tcPr>
          <w:p>
            <w:pPr>
              <w:pStyle w:val="Normal"/>
              <w:spacing w:lineRule="auto" w:line="480"/>
              <w:rPr>
                <w:color w:val="000000"/>
                <w:lang w:val="en-US" w:eastAsia="en-US" w:bidi="en-US"/>
              </w:rPr>
            </w:pPr>
            <w:r>
              <w:rPr>
                <w:bCs/>
              </w:rPr>
              <w:t>Чадова Ирина Михайловна</w:t>
            </w:r>
          </w:p>
        </w:tc>
      </w:tr>
      <w:tr>
        <w:trPr>
          <w:trHeight w:val="255" w:hRule="atLeast"/>
        </w:trPr>
        <w:tc>
          <w:tcPr>
            <w:tcW w:w="3516" w:type="dxa"/>
            <w:tcBorders/>
          </w:tcPr>
          <w:p>
            <w:pPr>
              <w:pStyle w:val="Normal"/>
              <w:spacing w:lineRule="auto" w:line="480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Член комиссии</w:t>
            </w:r>
          </w:p>
        </w:tc>
        <w:tc>
          <w:tcPr>
            <w:tcW w:w="2530" w:type="dxa"/>
            <w:tcBorders/>
          </w:tcPr>
          <w:p>
            <w:pPr>
              <w:pStyle w:val="Any"/>
              <w:spacing w:lineRule="auto" w:line="480"/>
              <w:ind w:left="720" w:right="0"/>
              <w:jc w:val="center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 xml:space="preserve">_____________ </w:t>
            </w:r>
          </w:p>
        </w:tc>
        <w:tc>
          <w:tcPr>
            <w:tcW w:w="5116" w:type="dxa"/>
            <w:tcBorders/>
            <w:vAlign w:val="center"/>
          </w:tcPr>
          <w:p>
            <w:pPr>
              <w:pStyle w:val="Normal"/>
              <w:tabs>
                <w:tab w:val="clear" w:pos="720"/>
                <w:tab w:val="left" w:pos="2552" w:leader="none"/>
                <w:tab w:val="left" w:pos="3686" w:leader="none"/>
              </w:tabs>
              <w:spacing w:lineRule="auto" w:line="360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Болтаевская Марина Евгеньевна</w:t>
            </w:r>
          </w:p>
        </w:tc>
      </w:tr>
      <w:tr>
        <w:trPr/>
        <w:tc>
          <w:tcPr>
            <w:tcW w:w="3516" w:type="dxa"/>
            <w:tcBorders/>
          </w:tcPr>
          <w:p>
            <w:pPr>
              <w:pStyle w:val="Normal"/>
              <w:spacing w:lineRule="auto" w:line="480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Член комиссии</w:t>
            </w:r>
          </w:p>
        </w:tc>
        <w:tc>
          <w:tcPr>
            <w:tcW w:w="2530" w:type="dxa"/>
            <w:tcBorders/>
          </w:tcPr>
          <w:p>
            <w:pPr>
              <w:pStyle w:val="Any"/>
              <w:spacing w:lineRule="auto" w:line="480"/>
              <w:ind w:left="720" w:right="0"/>
              <w:jc w:val="center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_____________</w:t>
            </w:r>
          </w:p>
        </w:tc>
        <w:tc>
          <w:tcPr>
            <w:tcW w:w="5116" w:type="dxa"/>
            <w:tcBorders/>
            <w:vAlign w:val="center"/>
          </w:tcPr>
          <w:p>
            <w:pPr>
              <w:pStyle w:val="Normal"/>
              <w:tabs>
                <w:tab w:val="clear" w:pos="720"/>
                <w:tab w:val="left" w:pos="2552" w:leader="none"/>
                <w:tab w:val="left" w:pos="3686" w:leader="none"/>
              </w:tabs>
              <w:spacing w:lineRule="auto" w:line="360"/>
              <w:rPr>
                <w:bCs/>
                <w:lang w:eastAsia="zh-CN"/>
              </w:rPr>
            </w:pPr>
            <w:r>
              <w:rPr>
                <w:bCs/>
                <w:lang w:eastAsia="zh-CN"/>
              </w:rPr>
              <w:t>Лузина Евгения Константиновна</w:t>
            </w:r>
          </w:p>
        </w:tc>
      </w:tr>
      <w:tr>
        <w:trPr/>
        <w:tc>
          <w:tcPr>
            <w:tcW w:w="3516" w:type="dxa"/>
            <w:tcBorders/>
          </w:tcPr>
          <w:p>
            <w:pPr>
              <w:pStyle w:val="Normal"/>
              <w:spacing w:lineRule="auto" w:line="480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 xml:space="preserve">Секретарь </w:t>
            </w:r>
            <w:r>
              <w:rPr>
                <w:bCs/>
              </w:rPr>
              <w:t>Комиссии</w:t>
            </w:r>
          </w:p>
        </w:tc>
        <w:tc>
          <w:tcPr>
            <w:tcW w:w="2530" w:type="dxa"/>
            <w:tcBorders/>
          </w:tcPr>
          <w:p>
            <w:pPr>
              <w:pStyle w:val="Any"/>
              <w:spacing w:lineRule="auto" w:line="480"/>
              <w:ind w:left="720" w:right="0"/>
              <w:jc w:val="center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 xml:space="preserve">_____________ </w:t>
            </w:r>
          </w:p>
        </w:tc>
        <w:tc>
          <w:tcPr>
            <w:tcW w:w="5116" w:type="dxa"/>
            <w:tcBorders/>
          </w:tcPr>
          <w:p>
            <w:pPr>
              <w:pStyle w:val="Normal"/>
              <w:spacing w:lineRule="auto" w:line="480"/>
              <w:rPr>
                <w:color w:val="000000"/>
                <w:lang w:val="en-US" w:eastAsia="en-US" w:bidi="en-US"/>
              </w:rPr>
            </w:pPr>
            <w:r>
              <w:rPr>
                <w:color w:val="000000"/>
                <w:lang w:val="en-US" w:eastAsia="en-US" w:bidi="en-US"/>
              </w:rPr>
              <w:t>Климова Юлия Александровна</w:t>
            </w:r>
          </w:p>
        </w:tc>
      </w:tr>
    </w:tbl>
    <w:p>
      <w:pPr>
        <w:pStyle w:val="Normal"/>
        <w:spacing w:lineRule="auto" w:line="360"/>
        <w:rPr/>
      </w:pPr>
      <w:r>
        <w:rPr/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ЗДРАВООХРАНЕНИЯ "ЦЕНТР ГИГИЕНЫ И ЭПИДЕМИОЛОГИИ В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Климова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0C:4D:B7:C9:7F:00:96:CE:2F:42:E4:32:54:07:7D:8D, действителен с 09.07.2026 09:12:15 по 02.10.2027 09:12:15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13:36:15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ЗДРАВООХРАНЕНИЯ "ЦЕНТР ГИГИЕНЫ И ЭПИДЕМИОЛОГИИ В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Болтаевская Марина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00:A4:B9:44:4E:93:B2:CC:99:D2:EE:FD:9F:77:F0:53:DB, действителен с 15.04.2026 07:31:03 по 09.07.2027 07:31:03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13:38:44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ЗДРАВООХРАНЕНИЯ "ЦЕНТР ГИГИЕНЫ И ЭПИДЕМИОЛОГИИ В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Лузина Евгения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00:C2:C8:38:BA:19:35:4D:FC:83:B4:7E:41:36:DE:30:DE, действителен с 10.02.2026 13:23:10 по 06.05.2027 13:23:10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13:40:32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ЗДРАВООХРАНЕНИЯ "ЦЕНТР ГИГИЕНЫ И ЭПИДЕМИОЛОГИИ В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Чадова Ирина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00:A9:71:E0:13:75:B2:19:07:1F:EA:5E:33:87:7F:55:3E, действителен с 23.10.2025 08:22:56 по 16.01.2027 08:22:56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14:01:49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УЧРЕЖДЕНИЕ ЗДРАВООХРАНЕНИЯ "ЦЕНТР ГИГИЕНЫ И ЭПИДЕМИОЛОГИИ В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Чехова Галина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16:A4:B3:B4:C0:83:DF:95:FE:60:D0:C4:A1:B2:9D:AB, действителен с 20.01.2026 13:23:55 по 15.04.2027 13:23:55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16:48:38 МСК</w:t>
      </w:r>
    </w:p>
    <w:sectPr>
      <w:type w:val="nextPage"/>
      <w:pgSz w:w="12240" w:h="15840"/>
      <w:pgMar w:left="993" w:right="616" w:gutter="0" w:header="0" w:top="709" w:footer="0" w:bottom="56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Segoe UI">
    <w:charset w:val="cc"/>
    <w:family w:val="swiss"/>
    <w:pitch w:val="variable"/>
  </w:font>
  <w:font w:name="Open Sans">
    <w:charset w:val="01"/>
    <w:family w:val="swiss"/>
    <w:pitch w:val="variable"/>
  </w:font>
  <w:font w:name="Arial CYR">
    <w:charset w:val="cc"/>
    <w:family w:val="swiss"/>
    <w:pitch w:val="variable"/>
  </w:font>
  <w:font w:name="Times New Roman CYR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/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/>
    </w:lvl>
    <w:lvl w:ilvl="2">
      <w:start w:val="1"/>
      <w:pStyle w:val="Heading3"/>
      <w:numFmt w:val="decimal"/>
      <w:lvlText w:val="%1.%2.%3"/>
      <w:lvlJc w:val="left"/>
      <w:pPr>
        <w:tabs>
          <w:tab w:val="num" w:pos="720"/>
        </w:tabs>
        <w:ind w:left="720" w:hanging="720"/>
      </w:pPr>
      <w:rPr/>
    </w:lvl>
    <w:lvl w:ilvl="3">
      <w:start w:val="1"/>
      <w:pStyle w:val="Heading4"/>
      <w:numFmt w:val="decimal"/>
      <w:lvlText w:val="%1.%2.%3.%4"/>
      <w:lvlJc w:val="left"/>
      <w:pPr>
        <w:tabs>
          <w:tab w:val="num" w:pos="1944"/>
        </w:tabs>
        <w:ind w:left="1944" w:hanging="864"/>
      </w:pPr>
      <w:rPr/>
    </w:lvl>
    <w:lvl w:ilvl="4">
      <w:start w:val="1"/>
      <w:pStyle w:val="Heading5"/>
      <w:numFmt w:val="decimal"/>
      <w:lvlText w:val="%1.%2.%3.%4.%5"/>
      <w:lvlJc w:val="left"/>
      <w:pPr>
        <w:tabs>
          <w:tab w:val="num" w:pos="1008"/>
        </w:tabs>
        <w:ind w:left="1008" w:hanging="1008"/>
      </w:pPr>
      <w:rPr/>
    </w:lvl>
    <w:lvl w:ilvl="5">
      <w:start w:val="1"/>
      <w:pStyle w:val="Heading6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/>
    </w:lvl>
    <w:lvl w:ilvl="6">
      <w:start w:val="1"/>
      <w:pStyle w:val="Heading7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/>
    </w:lvl>
    <w:lvl w:ilvl="7">
      <w:start w:val="1"/>
      <w:pStyle w:val="Heading8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/>
    </w:lvl>
    <w:lvl w:ilvl="8">
      <w:start w:val="1"/>
      <w:pStyle w:val="Heading9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/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bidi="ar-SA" w:eastAsia="zh-CN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jc w:val="both"/>
      <w:outlineLvl w:val="2"/>
    </w:pPr>
    <w:rPr>
      <w:rFonts w:ascii="Arial" w:hAnsi="Arial" w:cs="Arial"/>
      <w:b/>
      <w:szCs w:val="20"/>
      <w:lang w:val="en-US"/>
    </w:rPr>
  </w:style>
  <w:style w:type="paragraph" w:styleId="Heading4">
    <w:name w:val="Heading 4"/>
    <w:basedOn w:val="Normal"/>
    <w:next w:val="Normal"/>
    <w:qFormat/>
    <w:pPr>
      <w:keepNext w:val="true"/>
      <w:numPr>
        <w:ilvl w:val="3"/>
        <w:numId w:val="1"/>
      </w:numPr>
      <w:spacing w:before="240" w:after="60"/>
      <w:jc w:val="both"/>
      <w:outlineLvl w:val="3"/>
    </w:pPr>
    <w:rPr>
      <w:rFonts w:ascii="Arial" w:hAnsi="Arial" w:cs="Arial"/>
      <w:szCs w:val="20"/>
      <w:lang w:val="en-US"/>
    </w:rPr>
  </w:style>
  <w:style w:type="paragraph" w:styleId="Heading5">
    <w:name w:val="Heading 5"/>
    <w:basedOn w:val="Normal"/>
    <w:next w:val="Normal"/>
    <w:qFormat/>
    <w:pPr>
      <w:numPr>
        <w:ilvl w:val="4"/>
        <w:numId w:val="1"/>
      </w:numPr>
      <w:spacing w:before="240" w:after="60"/>
      <w:jc w:val="both"/>
      <w:outlineLvl w:val="4"/>
    </w:pPr>
    <w:rPr>
      <w:sz w:val="22"/>
      <w:szCs w:val="20"/>
      <w:lang w:val="en-US"/>
    </w:rPr>
  </w:style>
  <w:style w:type="paragraph" w:styleId="Heading6">
    <w:name w:val="Heading 6"/>
    <w:basedOn w:val="Normal"/>
    <w:next w:val="Normal"/>
    <w:qFormat/>
    <w:pPr>
      <w:numPr>
        <w:ilvl w:val="5"/>
        <w:numId w:val="1"/>
      </w:numPr>
      <w:spacing w:before="240" w:after="60"/>
      <w:jc w:val="both"/>
      <w:outlineLvl w:val="5"/>
    </w:pPr>
    <w:rPr>
      <w:i/>
      <w:sz w:val="22"/>
      <w:szCs w:val="20"/>
      <w:lang w:val="en-US"/>
    </w:rPr>
  </w:style>
  <w:style w:type="paragraph" w:styleId="Heading7">
    <w:name w:val="Heading 7"/>
    <w:basedOn w:val="Normal"/>
    <w:next w:val="Normal"/>
    <w:qFormat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 w:cs="Arial"/>
      <w:sz w:val="20"/>
      <w:szCs w:val="20"/>
      <w:lang w:val="en-US"/>
    </w:rPr>
  </w:style>
  <w:style w:type="paragraph" w:styleId="Heading8">
    <w:name w:val="Heading 8"/>
    <w:basedOn w:val="Normal"/>
    <w:next w:val="Normal"/>
    <w:qFormat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 w:cs="Arial"/>
      <w:i/>
      <w:sz w:val="20"/>
      <w:szCs w:val="20"/>
      <w:lang w:val="en-US"/>
    </w:rPr>
  </w:style>
  <w:style w:type="paragraph" w:styleId="Heading9">
    <w:name w:val="Heading 9"/>
    <w:basedOn w:val="Normal"/>
    <w:next w:val="Normal"/>
    <w:qFormat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 w:cs="Arial"/>
      <w:b/>
      <w:i/>
      <w:sz w:val="18"/>
      <w:szCs w:val="20"/>
      <w:lang w:val="en-US"/>
    </w:rPr>
  </w:style>
  <w:style w:type="character" w:styleId="WW8Num1z0">
    <w:name w:val="WW8Num1z0"/>
    <w:qFormat/>
    <w:rPr>
      <w:rFonts w:ascii="Symbol" w:hAnsi="Symbol" w:cs="Symbol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>
      <w:rFonts w:ascii="Symbol" w:hAnsi="Symbol" w:cs="Symbol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6z0">
    <w:name w:val="WW8Num6z0"/>
    <w:qFormat/>
    <w:rPr>
      <w:rFonts w:ascii="Symbol" w:hAnsi="Symbol" w:cs="Symbol"/>
      <w:sz w:val="20"/>
    </w:rPr>
  </w:style>
  <w:style w:type="character" w:styleId="WW8Num6z1">
    <w:name w:val="WW8Num6z1"/>
    <w:qFormat/>
    <w:rPr>
      <w:rFonts w:ascii="Courier New" w:hAnsi="Courier New" w:cs="Courier New"/>
      <w:sz w:val="20"/>
    </w:rPr>
  </w:style>
  <w:style w:type="character" w:styleId="WW8Num6z2">
    <w:name w:val="WW8Num6z2"/>
    <w:qFormat/>
    <w:rPr>
      <w:rFonts w:ascii="Wingdings" w:hAnsi="Wingdings" w:cs="Wingdings"/>
      <w:sz w:val="20"/>
    </w:rPr>
  </w:style>
  <w:style w:type="character" w:styleId="WW8Num7z0">
    <w:name w:val="WW8Num7z0"/>
    <w:qFormat/>
    <w:rPr>
      <w:rFonts w:ascii="Symbol" w:hAnsi="Symbol" w:cs="Symbol"/>
      <w:sz w:val="20"/>
    </w:rPr>
  </w:style>
  <w:style w:type="character" w:styleId="WW8Num7z1">
    <w:name w:val="WW8Num7z1"/>
    <w:qFormat/>
    <w:rPr>
      <w:rFonts w:ascii="Courier New" w:hAnsi="Courier New" w:cs="Courier New"/>
      <w:sz w:val="20"/>
    </w:rPr>
  </w:style>
  <w:style w:type="character" w:styleId="WW8Num7z2">
    <w:name w:val="WW8Num7z2"/>
    <w:qFormat/>
    <w:rPr>
      <w:rFonts w:ascii="Wingdings" w:hAnsi="Wingdings" w:cs="Wingdings"/>
      <w:sz w:val="20"/>
    </w:rPr>
  </w:style>
  <w:style w:type="character" w:styleId="WW8Num8z0">
    <w:name w:val="WW8Num8z0"/>
    <w:qFormat/>
    <w:rPr>
      <w:rFonts w:ascii="Symbol" w:hAnsi="Symbol" w:cs="Symbol"/>
      <w:sz w:val="20"/>
    </w:rPr>
  </w:style>
  <w:style w:type="character" w:styleId="WW8Num8z1">
    <w:name w:val="WW8Num8z1"/>
    <w:qFormat/>
    <w:rPr>
      <w:rFonts w:ascii="Courier New" w:hAnsi="Courier New" w:cs="Courier New"/>
      <w:sz w:val="20"/>
    </w:rPr>
  </w:style>
  <w:style w:type="character" w:styleId="WW8Num8z2">
    <w:name w:val="WW8Num8z2"/>
    <w:qFormat/>
    <w:rPr>
      <w:rFonts w:ascii="Wingdings" w:hAnsi="Wingdings" w:cs="Wingdings"/>
      <w:sz w:val="20"/>
    </w:rPr>
  </w:style>
  <w:style w:type="character" w:styleId="WW8Num9z0">
    <w:name w:val="WW8Num9z0"/>
    <w:qFormat/>
    <w:rPr>
      <w:rFonts w:ascii="Symbol" w:hAnsi="Symbol" w:cs="Symbol"/>
      <w:sz w:val="20"/>
    </w:rPr>
  </w:style>
  <w:style w:type="character" w:styleId="WW8Num9z1">
    <w:name w:val="WW8Num9z1"/>
    <w:qFormat/>
    <w:rPr>
      <w:rFonts w:ascii="Courier New" w:hAnsi="Courier New" w:cs="Courier New"/>
      <w:sz w:val="20"/>
    </w:rPr>
  </w:style>
  <w:style w:type="character" w:styleId="WW8Num9z2">
    <w:name w:val="WW8Num9z2"/>
    <w:qFormat/>
    <w:rPr>
      <w:rFonts w:ascii="Wingdings" w:hAnsi="Wingdings" w:cs="Wingdings"/>
      <w:sz w:val="20"/>
    </w:rPr>
  </w:style>
  <w:style w:type="character" w:styleId="WW8Num10z0">
    <w:name w:val="WW8Num10z0"/>
    <w:qFormat/>
    <w:rPr>
      <w:rFonts w:ascii="Symbol" w:hAnsi="Symbol" w:cs="Symbol"/>
      <w:sz w:val="20"/>
    </w:rPr>
  </w:style>
  <w:style w:type="character" w:styleId="WW8Num10z1">
    <w:name w:val="WW8Num10z1"/>
    <w:qFormat/>
    <w:rPr>
      <w:rFonts w:ascii="Courier New" w:hAnsi="Courier New" w:cs="Courier New"/>
      <w:sz w:val="20"/>
    </w:rPr>
  </w:style>
  <w:style w:type="character" w:styleId="WW8Num10z2">
    <w:name w:val="WW8Num10z2"/>
    <w:qFormat/>
    <w:rPr>
      <w:rFonts w:ascii="Wingdings" w:hAnsi="Wingdings" w:cs="Wingdings"/>
      <w:sz w:val="20"/>
    </w:rPr>
  </w:style>
  <w:style w:type="character" w:styleId="WW8Num11z0">
    <w:name w:val="WW8Num11z0"/>
    <w:qFormat/>
    <w:rPr/>
  </w:style>
  <w:style w:type="character" w:styleId="Style7">
    <w:name w:val="Основной шрифт абзаца"/>
    <w:qFormat/>
    <w:rPr/>
  </w:style>
  <w:style w:type="character" w:styleId="BoldText">
    <w:name w:val="boldText"/>
    <w:qFormat/>
    <w:rPr>
      <w:b/>
      <w:bCs/>
    </w:rPr>
  </w:style>
  <w:style w:type="character" w:styleId="AnyCharacter">
    <w:name w:val="any Character"/>
    <w:qFormat/>
    <w:rPr>
      <w:rFonts w:ascii="Times New Roman" w:hAnsi="Times New Roman" w:eastAsia="Times New Roman" w:cs="Times New Roman"/>
    </w:rPr>
  </w:style>
  <w:style w:type="character" w:styleId="Hyperlink">
    <w:name w:val="Hyperlink"/>
    <w:rPr>
      <w:color w:val="0000FF"/>
      <w:u w:val="single"/>
    </w:rPr>
  </w:style>
  <w:style w:type="character" w:styleId="Style8">
    <w:name w:val="Основной текст Знак"/>
    <w:qFormat/>
    <w:rPr>
      <w:rFonts w:eastAsia="Arial Unicode MS"/>
      <w:sz w:val="24"/>
      <w:szCs w:val="24"/>
      <w:lang w:val="en-US"/>
    </w:rPr>
  </w:style>
  <w:style w:type="character" w:styleId="Style9">
    <w:name w:val="Текст выноски Знак"/>
    <w:qFormat/>
    <w:rPr>
      <w:rFonts w:ascii="Segoe UI" w:hAnsi="Segoe UI" w:cs="Segoe UI"/>
      <w:sz w:val="18"/>
      <w:szCs w:val="18"/>
    </w:rPr>
  </w:style>
  <w:style w:type="character" w:styleId="Style10">
    <w:name w:val="Гипертекстовая ссылка"/>
    <w:qFormat/>
    <w:rPr>
      <w:color w:val="106BBE"/>
    </w:rPr>
  </w:style>
  <w:style w:type="character" w:styleId="ConsPlusNormal">
    <w:name w:val="ConsPlusNormal Знак"/>
    <w:qFormat/>
    <w:rPr>
      <w:rFonts w:ascii="Arial" w:hAnsi="Arial" w:cs="Arial"/>
    </w:rPr>
  </w:style>
  <w:style w:type="character" w:styleId="3">
    <w:name w:val="Основной текст с отступом 3 Знак"/>
    <w:qFormat/>
    <w:rPr>
      <w:sz w:val="16"/>
      <w:szCs w:val="16"/>
      <w:lang w:val="en-US"/>
    </w:rPr>
  </w:style>
  <w:style w:type="character" w:styleId="Style11">
    <w:name w:val="Неразрешенное упоминание"/>
    <w:qFormat/>
    <w:rPr>
      <w:color w:val="605E5C"/>
      <w:shd w:fill="E1DFDD" w:val="clear"/>
    </w:rPr>
  </w:style>
  <w:style w:type="character" w:styleId="31">
    <w:name w:val="Заголовок 3 Знак"/>
    <w:qFormat/>
    <w:rPr>
      <w:rFonts w:ascii="Arial" w:hAnsi="Arial" w:cs="Arial"/>
      <w:b/>
      <w:sz w:val="24"/>
      <w:lang w:val="en-US"/>
    </w:rPr>
  </w:style>
  <w:style w:type="character" w:styleId="4">
    <w:name w:val="Заголовок 4 Знак"/>
    <w:qFormat/>
    <w:rPr>
      <w:rFonts w:ascii="Arial" w:hAnsi="Arial" w:cs="Arial"/>
      <w:sz w:val="24"/>
      <w:lang w:val="en-US"/>
    </w:rPr>
  </w:style>
  <w:style w:type="character" w:styleId="5">
    <w:name w:val="Заголовок 5 Знак"/>
    <w:qFormat/>
    <w:rPr>
      <w:sz w:val="22"/>
      <w:lang w:val="en-US"/>
    </w:rPr>
  </w:style>
  <w:style w:type="character" w:styleId="6">
    <w:name w:val="Заголовок 6 Знак"/>
    <w:qFormat/>
    <w:rPr>
      <w:i/>
      <w:sz w:val="22"/>
      <w:lang w:val="en-US"/>
    </w:rPr>
  </w:style>
  <w:style w:type="character" w:styleId="7">
    <w:name w:val="Заголовок 7 Знак"/>
    <w:qFormat/>
    <w:rPr>
      <w:rFonts w:ascii="Arial" w:hAnsi="Arial" w:cs="Arial"/>
      <w:lang w:val="en-US"/>
    </w:rPr>
  </w:style>
  <w:style w:type="character" w:styleId="8">
    <w:name w:val="Заголовок 8 Знак"/>
    <w:qFormat/>
    <w:rPr>
      <w:rFonts w:ascii="Arial" w:hAnsi="Arial" w:cs="Arial"/>
      <w:i/>
      <w:lang w:val="en-US"/>
    </w:rPr>
  </w:style>
  <w:style w:type="character" w:styleId="9">
    <w:name w:val="Заголовок 9 Знак"/>
    <w:qFormat/>
    <w:rPr>
      <w:rFonts w:ascii="Arial" w:hAnsi="Arial" w:cs="Arial"/>
      <w:b/>
      <w:i/>
      <w:sz w:val="18"/>
      <w:lang w:val="en-US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Droid Sans Devanagari"/>
      <w:sz w:val="28"/>
      <w:szCs w:val="28"/>
    </w:rPr>
  </w:style>
  <w:style w:type="paragraph" w:styleId="BodyText">
    <w:name w:val="Body Text"/>
    <w:basedOn w:val="Normal"/>
    <w:pPr>
      <w:widowControl w:val="false"/>
      <w:suppressAutoHyphens w:val="true"/>
      <w:spacing w:before="0" w:after="120"/>
    </w:pPr>
    <w:rPr>
      <w:rFonts w:eastAsia="Arial Unicode MS"/>
      <w:lang w:val="en-US"/>
    </w:rPr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Headingcenter1">
    <w:name w:val="headingcenter1"/>
    <w:basedOn w:val="Normal"/>
    <w:qFormat/>
    <w:pPr>
      <w:jc w:val="center"/>
    </w:pPr>
    <w:rPr>
      <w:b/>
      <w:bCs/>
      <w:sz w:val="28"/>
      <w:szCs w:val="28"/>
    </w:rPr>
  </w:style>
  <w:style w:type="paragraph" w:styleId="Any">
    <w:name w:val="any"/>
    <w:basedOn w:val="Normal"/>
    <w:qFormat/>
    <w:pPr/>
    <w:rPr>
      <w:rFonts w:ascii="Times New Roman" w:hAnsi="Times New Roman" w:eastAsia="Times New Roman" w:cs="Times New Roman"/>
    </w:rPr>
  </w:style>
  <w:style w:type="paragraph" w:styleId="Usual1">
    <w:name w:val="usual1"/>
    <w:basedOn w:val="Normal"/>
    <w:qFormat/>
    <w:pPr>
      <w:jc w:val="left"/>
    </w:pPr>
    <w:rPr>
      <w:sz w:val="24"/>
      <w:szCs w:val="24"/>
    </w:rPr>
  </w:style>
  <w:style w:type="paragraph" w:styleId="ConsNonformat">
    <w:name w:val="ConsNonformat"/>
    <w:qFormat/>
    <w:pPr>
      <w:widowControl w:val="false"/>
      <w:autoSpaceDE w:val="false"/>
      <w:bidi w:val="0"/>
      <w:ind w:hanging="0" w:left="0" w:right="19772"/>
    </w:pPr>
    <w:rPr>
      <w:rFonts w:ascii="Courier New" w:hAnsi="Courier New" w:eastAsia="Times New Roman" w:cs="Courier New"/>
      <w:color w:val="auto"/>
      <w:sz w:val="20"/>
      <w:szCs w:val="20"/>
      <w:lang w:val="ru-RU" w:bidi="ar-SA" w:eastAsia="zh-CN"/>
    </w:rPr>
  </w:style>
  <w:style w:type="paragraph" w:styleId="Style12">
    <w:name w:val="Текст выноски"/>
    <w:basedOn w:val="Normal"/>
    <w:qFormat/>
    <w:pPr/>
    <w:rPr>
      <w:rFonts w:ascii="Segoe UI" w:hAnsi="Segoe UI" w:cs="Segoe UI"/>
      <w:sz w:val="18"/>
      <w:szCs w:val="18"/>
    </w:rPr>
  </w:style>
  <w:style w:type="paragraph" w:styleId="ConsPlusNormal1">
    <w:name w:val="ConsPlusNormal"/>
    <w:qFormat/>
    <w:pPr>
      <w:widowControl w:val="false"/>
      <w:autoSpaceDE w:val="false"/>
      <w:bidi w:val="0"/>
      <w:ind w:firstLine="720" w:left="0" w:right="0"/>
    </w:pPr>
    <w:rPr>
      <w:rFonts w:ascii="Arial" w:hAnsi="Arial" w:eastAsia="Times New Roman" w:cs="Arial"/>
      <w:color w:val="auto"/>
      <w:sz w:val="20"/>
      <w:szCs w:val="20"/>
      <w:lang w:val="ru-RU" w:bidi="ar-SA" w:eastAsia="zh-CN"/>
    </w:rPr>
  </w:style>
  <w:style w:type="paragraph" w:styleId="Style13">
    <w:name w:val="Обычный (веб)"/>
    <w:basedOn w:val="Normal"/>
    <w:qFormat/>
    <w:pPr>
      <w:spacing w:before="280" w:after="280"/>
    </w:pPr>
    <w:rPr/>
  </w:style>
  <w:style w:type="paragraph" w:styleId="32">
    <w:name w:val="Основной текст с отступом 3"/>
    <w:basedOn w:val="Normal"/>
    <w:qFormat/>
    <w:pPr>
      <w:widowControl w:val="false"/>
      <w:autoSpaceDE w:val="false"/>
      <w:spacing w:before="0" w:after="120"/>
      <w:ind w:hanging="0" w:left="283" w:right="0"/>
    </w:pPr>
    <w:rPr>
      <w:sz w:val="16"/>
      <w:szCs w:val="16"/>
      <w:lang w:val="en-US"/>
    </w:rPr>
  </w:style>
  <w:style w:type="paragraph" w:styleId="LO-normal1">
    <w:name w:val="LO-normal1"/>
    <w:qFormat/>
    <w:pPr>
      <w:widowControl/>
      <w:suppressAutoHyphens w:val="true"/>
      <w:bidi w:val="0"/>
    </w:pPr>
    <w:rPr>
      <w:rFonts w:ascii="Times New Roman" w:hAnsi="Times New Roman" w:eastAsia="Noto Serif CJK SC" w:cs="Lohit Devanagari"/>
      <w:color w:val="00000A"/>
      <w:sz w:val="24"/>
      <w:szCs w:val="24"/>
      <w:lang w:val="ru-RU" w:eastAsia="zh-CN" w:bidi="hi-IN"/>
    </w:rPr>
  </w:style>
  <w:style w:type="paragraph" w:styleId="311">
    <w:name w:val="Основной текст с отступом 31"/>
    <w:basedOn w:val="Normal"/>
    <w:qFormat/>
    <w:pPr>
      <w:widowControl w:val="false"/>
      <w:suppressAutoHyphens w:val="true"/>
      <w:autoSpaceDE w:val="false"/>
      <w:spacing w:before="0" w:after="120"/>
      <w:ind w:hanging="0" w:left="283" w:right="0"/>
    </w:pPr>
    <w:rPr>
      <w:sz w:val="16"/>
      <w:szCs w:val="16"/>
      <w:lang w:val="en-US" w:eastAsia="zh-CN"/>
    </w:rPr>
  </w:style>
  <w:style w:type="paragraph" w:styleId="FrameContents">
    <w:name w:val="Frame Contents"/>
    <w:basedOn w:val="Normal"/>
    <w:qFormat/>
    <w:pPr/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yperlink" Target="mailto:csengor@cgie52.ru" TargetMode="External"/><Relationship Id="rId5" Type="http://schemas.openxmlformats.org/officeDocument/2006/relationships/hyperlink" Target="mailto:zakupki@cgie52.ru" TargetMode="External"/><Relationship Id="rId6" Type="http://schemas.openxmlformats.org/officeDocument/2006/relationships/hyperlink" Target="http://zakupki.gov.ru/" TargetMode="Externa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2025-09-23T10:45:00Z</dcterms:created>
  <dc:creator>user101</dc:creator>
  <dc:description/>
  <cp:keywords/>
  <dc:language>en-US</dc:language>
  <cp:lastModifiedBy>User101</cp:lastModifiedBy>
  <cp:lastPrinted>2026-08-10T11:35:00Z</cp:lastPrinted>
  <dcterms:modified xsi:type="dcterms:W3CDTF">2026-08-10T13:33:00Z</dcterms:modified>
  <cp:revision>60</cp:revision>
  <dc:subject/>
  <dc:title/>
</cp:coreProperties>
</file>