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keepNext w:val="true"/>
        <w:spacing w:lineRule="auto" w:line="360" w:before="0" w:after="0"/>
        <w:ind w:right="-28"/>
        <w:jc w:val="center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>ПРОТОКОЛ</w:t>
      </w:r>
    </w:p>
    <w:p>
      <w:pPr>
        <w:pStyle w:val="Normal"/>
        <w:spacing w:lineRule="auto" w:line="240" w:before="0" w:after="0"/>
        <w:ind w:right="-1"/>
        <w:jc w:val="center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>подведения итогов определения поставщика (подрядчика, исполнителя)</w:t>
      </w:r>
    </w:p>
    <w:p>
      <w:pPr>
        <w:pStyle w:val="Normal"/>
        <w:spacing w:lineRule="auto" w:line="240" w:before="0" w:after="0"/>
        <w:ind w:right="-1"/>
        <w:jc w:val="center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>(0164200001926003254)</w:t>
      </w:r>
    </w:p>
    <w:p>
      <w:pPr>
        <w:pStyle w:val="Normal"/>
        <w:spacing w:lineRule="auto" w:line="240" w:before="0" w:after="0"/>
        <w:ind w:left="3828" w:right="5243"/>
        <w:jc w:val="both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</w:p>
    <w:tbl>
      <w:tblPr>
        <w:tblW w:w="10206" w:type="dxa"/>
        <w:jc w:val="left"/>
        <w:tblInd w:w="-5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3543"/>
        <w:gridCol w:w="3261"/>
        <w:gridCol w:w="3402"/>
      </w:tblGrid>
      <w:tr>
        <w:trPr/>
        <w:tc>
          <w:tcPr>
            <w:tcW w:w="3543" w:type="dxa"/>
            <w:tcBorders/>
            <w:vAlign w:val="bottom"/>
          </w:tcPr>
          <w:p>
            <w:pPr>
              <w:pStyle w:val="ListParagraph1"/>
              <w:tabs>
                <w:tab w:val="clear" w:pos="708"/>
                <w:tab w:val="left" w:pos="567" w:leader="none"/>
              </w:tabs>
              <w:spacing w:lineRule="auto" w:line="240" w:before="0" w:after="0"/>
              <w:ind w:left="0"/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>23.09.2026</w:t>
            </w:r>
          </w:p>
        </w:tc>
        <w:tc>
          <w:tcPr>
            <w:tcW w:w="3261" w:type="dxa"/>
            <w:tcBorders/>
            <w:vAlign w:val="bottom"/>
          </w:tcPr>
          <w:p>
            <w:pPr>
              <w:pStyle w:val="ListParagraph1"/>
              <w:tabs>
                <w:tab w:val="clear" w:pos="708"/>
                <w:tab w:val="left" w:pos="567" w:leader="none"/>
              </w:tabs>
              <w:spacing w:lineRule="auto" w:line="240" w:before="60" w:after="60"/>
              <w:ind w:left="0"/>
              <w:jc w:val="right"/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</w:p>
        </w:tc>
        <w:tc>
          <w:tcPr>
            <w:tcW w:w="3402" w:type="dxa"/>
            <w:tcBorders/>
          </w:tcPr>
          <w:p>
            <w:pPr>
              <w:pStyle w:val="ListParagraph1"/>
              <w:tabs>
                <w:tab w:val="clear" w:pos="708"/>
                <w:tab w:val="left" w:pos="567" w:leader="none"/>
              </w:tabs>
              <w:spacing w:lineRule="auto" w:line="240" w:before="60" w:after="60"/>
              <w:ind w:left="0"/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>0164200001926003254-1-1</w:t>
            </w:r>
          </w:p>
        </w:tc>
      </w:tr>
      <w:tr>
        <w:trPr/>
        <w:tc>
          <w:tcPr>
            <w:tcW w:w="10206" w:type="dxa"/>
            <w:gridSpan w:val="3"/>
            <w:tcBorders/>
            <w:vAlign w:val="bottom"/>
          </w:tcPr>
          <w:p>
            <w:pPr>
              <w:pStyle w:val="ListParagraph1"/>
              <w:tabs>
                <w:tab w:val="clear" w:pos="708"/>
                <w:tab w:val="left" w:pos="567" w:leader="none"/>
              </w:tabs>
              <w:spacing w:lineRule="auto" w:line="240" w:before="60" w:after="60"/>
              <w:ind w:left="0"/>
              <w:jc w:val="center"/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>Тамбовская обл, Тамбов г</w:t>
            </w:r>
          </w:p>
        </w:tc>
      </w:tr>
    </w:tbl>
    <w:p>
      <w:pPr>
        <w:pStyle w:val="ListParagraph1"/>
        <w:tabs>
          <w:tab w:val="clear" w:pos="708"/>
          <w:tab w:val="left" w:pos="567" w:leader="none"/>
        </w:tabs>
        <w:spacing w:lineRule="auto" w:line="240" w:before="60" w:after="60"/>
        <w:ind w:left="0"/>
        <w:rPr>
          <w:rFonts w:cs="Times New Roman"/>
          <w:bCs/>
        </w:rPr>
      </w:pPr>
      <w:r>
        <w:rPr>
          <w:rFonts w:cs="Times New Roman"/>
          <w:bCs/>
        </w:rPr>
      </w:r>
    </w:p>
    <w:p>
      <w:pPr>
        <w:pStyle w:val="ListParagraph"/>
        <w:widowControl w:val="false"/>
        <w:numPr>
          <w:ilvl w:val="0"/>
          <w:numId w:val="1"/>
        </w:numPr>
        <w:spacing w:lineRule="auto" w:line="240" w:before="60" w:after="0"/>
        <w:contextualSpacing/>
        <w:rPr>
          <w:rFonts w:eastAsia="Times New Roman"/>
        </w:rPr>
      </w:pPr>
      <w:r>
        <w:rPr>
          <w:rFonts w:eastAsia="Times New Roman"/>
        </w:rPr>
        <w:t>Организатор:  МИНИСТЕРСТВО ИМУЩЕСТВЕННЫХ ОТНОШЕНИЙ И ГОСУДАРСТВЕННОГО ЗАКАЗА ТАМБОВСКОЙ ОБЛАСТИ.</w:t>
      </w:r>
    </w:p>
    <w:p>
      <w:pPr>
        <w:pStyle w:val="ListParagraph"/>
        <w:widowControl w:val="false"/>
        <w:numPr>
          <w:ilvl w:val="0"/>
          <w:numId w:val="1"/>
        </w:numPr>
        <w:spacing w:lineRule="auto" w:line="240" w:before="60" w:after="0"/>
        <w:contextualSpacing/>
        <w:rPr>
          <w:rFonts w:eastAsia="Times New Roman"/>
        </w:rPr>
      </w:pPr>
      <w:r>
        <w:rPr>
          <w:rFonts w:eastAsia="Times New Roman"/>
        </w:rPr>
        <w:t xml:space="preserve">Заказчик(и): </w:t>
      </w:r>
    </w:p>
    <w:tbl>
      <w:tblPr>
        <w:tblStyle w:val="861"/>
        <w:tblW w:w="10093" w:type="dxa"/>
        <w:jc w:val="left"/>
        <w:tblInd w:w="108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10093"/>
      </w:tblGrid>
      <w:tr>
        <w:trPr/>
        <w:tc>
          <w:tcPr>
            <w:tcW w:w="1009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>
            <w:pPr>
              <w:pStyle w:val="Normal"/>
              <w:widowControl w:val="false"/>
              <w:spacing w:lineRule="auto" w:line="240" w:before="60" w:after="0"/>
              <w:jc w:val="left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kern w:val="0"/>
                <w:sz w:val="22"/>
                <w:szCs w:val="22"/>
                <w:lang w:val="ru-RU" w:eastAsia="ru-RU" w:bidi="ar-SA"/>
              </w:rPr>
              <w:t>ГОСУДАРСТВЕННОЕ БЮДЖЕТНОЕ УЧРЕЖДЕНИЕ ЗДРАВООХРАНЕНИЯ "ТАМБОВСКИЙ ОБЛАСТНОЙ МЕДИЦИНСКИЙ ИНФОРМАЦИОННО-АНАЛИТИЧЕСКИЙ ЦЕНТР"</w:t>
            </w:r>
          </w:p>
        </w:tc>
      </w:tr>
    </w:tbl>
    <w:p>
      <w:pPr>
        <w:pStyle w:val="ListParagraph"/>
        <w:widowControl w:val="false"/>
        <w:numPr>
          <w:ilvl w:val="0"/>
          <w:numId w:val="1"/>
        </w:numPr>
        <w:spacing w:lineRule="auto" w:line="240" w:before="60" w:after="0"/>
        <w:contextualSpacing/>
        <w:jc w:val="both"/>
        <w:rPr/>
      </w:pPr>
      <w:r>
        <w:rPr/>
        <w:t xml:space="preserve">Идентификационный код закупки: 262683102251968290100100230016201244. </w:t>
      </w:r>
    </w:p>
    <w:p>
      <w:pPr>
        <w:pStyle w:val="ListParagraph"/>
        <w:widowControl w:val="false"/>
        <w:numPr>
          <w:ilvl w:val="0"/>
          <w:numId w:val="1"/>
        </w:numPr>
        <w:spacing w:lineRule="auto" w:line="240" w:before="0" w:after="0"/>
        <w:contextualSpacing/>
        <w:jc w:val="both"/>
        <w:rPr/>
      </w:pPr>
      <w:r>
        <w:rPr/>
        <w:t xml:space="preserve">Извещение об осуществлении закупки размещено 14.09.2026 17:27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  <w:t>http</w:t>
      </w:r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://44.fabrikant.ru</w:t>
      </w:r>
      <w:r>
        <w:rPr/>
        <w:t>.</w:t>
      </w:r>
    </w:p>
    <w:p>
      <w:pPr>
        <w:pStyle w:val="ListParagraph"/>
        <w:widowControl w:val="false"/>
        <w:numPr>
          <w:ilvl w:val="0"/>
          <w:numId w:val="1"/>
        </w:numPr>
        <w:spacing w:lineRule="auto" w:line="240" w:before="0" w:after="0"/>
        <w:contextualSpacing/>
        <w:rPr/>
      </w:pPr>
      <w:r>
        <w:rPr/>
        <w:t>Наименование объекта закупки: Выполнение работ по развитию (модернизации) государственной информационной системы в сфере здравоохранения Тамбовской области в части модернизации взаимодействия с программным обеспечением Витрина данных для реализации сервиса получения анкет граждан, заполненных гражданами при записи на профилактический осмотр и (или) диспансеризацию на ЕПГУ.</w:t>
      </w:r>
    </w:p>
    <w:p>
      <w:pPr>
        <w:pStyle w:val="ListParagraph"/>
        <w:widowControl w:val="false"/>
        <w:numPr>
          <w:ilvl w:val="0"/>
          <w:numId w:val="1"/>
        </w:numPr>
        <w:spacing w:lineRule="auto" w:line="240" w:before="0" w:after="0"/>
        <w:contextualSpacing/>
        <w:rPr/>
      </w:pPr>
      <w:r>
        <w:rPr/>
        <w:t>Начальная (максимальная) цена контракта, руб.: 8 754 680.00</w:t>
      </w:r>
    </w:p>
    <w:p>
      <w:pPr>
        <w:pStyle w:val="ListParagraph"/>
        <w:keepNext w:val="true"/>
        <w:widowControl w:val="false"/>
        <w:numPr>
          <w:ilvl w:val="0"/>
          <w:numId w:val="1"/>
        </w:numPr>
        <w:spacing w:lineRule="auto" w:line="240" w:before="60" w:after="0"/>
        <w:contextualSpacing/>
        <w:jc w:val="both"/>
        <w:rPr/>
      </w:pPr>
      <w:r>
        <w:rPr/>
        <w:t>Состав комиссии по осуществлению закупок:</w:t>
      </w:r>
    </w:p>
    <w:tbl>
      <w:tblPr>
        <w:tblW w:w="10205" w:type="dxa"/>
        <w:jc w:val="left"/>
        <w:tblInd w:w="-5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0" w:noVBand="1" w:lastRow="0" w:firstColumn="0" w:lastColumn="0" w:noHBand="0" w:val="0400"/>
      </w:tblPr>
      <w:tblGrid>
        <w:gridCol w:w="3805"/>
        <w:gridCol w:w="4630"/>
        <w:gridCol w:w="1769"/>
      </w:tblGrid>
      <w:tr>
        <w:trPr/>
        <w:tc>
          <w:tcPr>
            <w:tcW w:w="38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60" w:after="0"/>
              <w:jc w:val="center"/>
              <w:rPr>
                <w:b/>
              </w:rPr>
            </w:pPr>
            <w:r>
              <w:rPr>
                <w:b/>
              </w:rPr>
              <w:t>Роль</w:t>
            </w:r>
          </w:p>
        </w:tc>
        <w:tc>
          <w:tcPr>
            <w:tcW w:w="4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60" w:after="0"/>
              <w:jc w:val="center"/>
              <w:rPr>
                <w:b/>
              </w:rPr>
            </w:pPr>
            <w:r>
              <w:rPr>
                <w:b/>
              </w:rPr>
              <w:t>Фамилия, имя, отчество</w:t>
            </w:r>
          </w:p>
        </w:tc>
        <w:tc>
          <w:tcPr>
            <w:tcW w:w="17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60" w:after="0"/>
              <w:jc w:val="center"/>
              <w:rPr>
                <w:b/>
              </w:rPr>
            </w:pPr>
            <w:r>
              <w:rPr>
                <w:b/>
              </w:rPr>
              <w:t>Статус</w:t>
            </w:r>
          </w:p>
        </w:tc>
      </w:tr>
      <w:tr>
        <w:trPr/>
        <w:tc>
          <w:tcPr>
            <w:tcW w:w="38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  <w:t>Председатель комиссии</w:t>
            </w:r>
          </w:p>
        </w:tc>
        <w:tc>
          <w:tcPr>
            <w:tcW w:w="4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  <w:t>Колупаева Елена Олеговна</w:t>
            </w:r>
          </w:p>
        </w:tc>
        <w:tc>
          <w:tcPr>
            <w:tcW w:w="17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/>
              <w:t>Присутствует</w:t>
            </w:r>
          </w:p>
        </w:tc>
      </w:tr>
      <w:tr>
        <w:trPr/>
        <w:tc>
          <w:tcPr>
            <w:tcW w:w="38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  <w:t>Член комиссии</w:t>
            </w:r>
          </w:p>
        </w:tc>
        <w:tc>
          <w:tcPr>
            <w:tcW w:w="4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  <w:t>Романов Алексей Александрович</w:t>
            </w:r>
          </w:p>
        </w:tc>
        <w:tc>
          <w:tcPr>
            <w:tcW w:w="17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/>
              <w:t>Присутствует</w:t>
            </w:r>
          </w:p>
        </w:tc>
      </w:tr>
    </w:tbl>
    <w:p>
      <w:pPr>
        <w:pStyle w:val="Normal"/>
        <w:widowControl w:val="false"/>
        <w:spacing w:lineRule="auto" w:line="240" w:before="60" w:after="0"/>
        <w:jc w:val="both"/>
        <w:rPr/>
      </w:pPr>
      <w:r>
        <w:rPr/>
        <w:t xml:space="preserve">Количество членов комиссии, присутствующих на заседании: 2. </w:t>
      </w:r>
      <w:r>
        <w:rPr>
          <w:rFonts w:eastAsia="Times New Roman"/>
          <w:lang w:eastAsia="ru-RU"/>
        </w:rPr>
        <w:t>Кворум имеется. Комиссия правомочна.</w:t>
      </w:r>
    </w:p>
    <w:p>
      <w:pPr>
        <w:pStyle w:val="ListParagraph"/>
        <w:numPr>
          <w:ilvl w:val="0"/>
          <w:numId w:val="1"/>
        </w:numPr>
        <w:spacing w:lineRule="auto" w:line="240" w:before="60" w:after="0"/>
        <w:contextualSpacing/>
        <w:jc w:val="both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Комиссия рассмотрела информацию и документы, направленные в соответствии с ч.2 ст.50 Федерального закона №44-ФЗ, и приняла следующее решение:</w:t>
      </w:r>
    </w:p>
    <w:tbl>
      <w:tblPr>
        <w:tblStyle w:val="861"/>
        <w:tblW w:w="10200" w:type="dxa"/>
        <w:jc w:val="left"/>
        <w:tblInd w:w="-5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1515"/>
        <w:gridCol w:w="1875"/>
        <w:gridCol w:w="1837"/>
        <w:gridCol w:w="1733"/>
        <w:gridCol w:w="1425"/>
        <w:gridCol w:w="1815"/>
      </w:tblGrid>
      <w:tr>
        <w:trPr>
          <w:trHeight w:val="843" w:hRule="atLeast"/>
        </w:trPr>
        <w:tc>
          <w:tcPr>
            <w:tcW w:w="1515" w:type="dxa"/>
            <w:tcBorders/>
            <w:vAlign w:val="center"/>
          </w:tcPr>
          <w:p>
            <w:pPr>
              <w:pStyle w:val="Normal"/>
              <w:widowControl/>
              <w:spacing w:lineRule="auto" w:line="240" w:before="60" w:after="0"/>
              <w:ind w:left="-108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kern w:val="0"/>
                <w:sz w:val="22"/>
                <w:szCs w:val="22"/>
                <w:lang w:val="ru-RU" w:eastAsia="ru-RU" w:bidi="ar-SA"/>
              </w:rPr>
              <w:t>Порядковый номер заявки, присвоенный оператором</w:t>
            </w:r>
          </w:p>
        </w:tc>
        <w:tc>
          <w:tcPr>
            <w:tcW w:w="1875" w:type="dxa"/>
            <w:tcBorders/>
            <w:vAlign w:val="center"/>
          </w:tcPr>
          <w:p>
            <w:pPr>
              <w:pStyle w:val="Normal"/>
              <w:widowControl/>
              <w:spacing w:lineRule="auto" w:line="240" w:before="60" w:after="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kern w:val="0"/>
                <w:sz w:val="22"/>
                <w:szCs w:val="22"/>
                <w:lang w:val="ru-RU" w:eastAsia="ru-RU" w:bidi="ar-SA"/>
              </w:rPr>
              <w:t>Идентификационный номер заявки, присвоенный оператором,</w:t>
            </w:r>
          </w:p>
          <w:p>
            <w:pPr>
              <w:pStyle w:val="Normal"/>
              <w:widowControl/>
              <w:spacing w:lineRule="auto" w:line="240" w:before="60" w:after="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kern w:val="0"/>
                <w:sz w:val="22"/>
                <w:szCs w:val="22"/>
                <w:lang w:val="ru-RU" w:eastAsia="ru-RU" w:bidi="ar-SA"/>
              </w:rPr>
              <w:t>дата и время регистрации</w:t>
            </w:r>
          </w:p>
        </w:tc>
        <w:tc>
          <w:tcPr>
            <w:tcW w:w="1837" w:type="dxa"/>
            <w:tcBorders/>
            <w:vAlign w:val="center"/>
          </w:tcPr>
          <w:p>
            <w:pPr>
              <w:pStyle w:val="Normal"/>
              <w:widowControl/>
              <w:spacing w:lineRule="auto" w:line="240" w:before="60" w:after="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kern w:val="0"/>
                <w:sz w:val="22"/>
                <w:szCs w:val="22"/>
                <w:lang w:val="ru-RU" w:eastAsia="ru-RU" w:bidi="ar-SA"/>
              </w:rPr>
              <w:t>Решение о соответствии или об отклонении заявки</w:t>
            </w:r>
          </w:p>
        </w:tc>
        <w:tc>
          <w:tcPr>
            <w:tcW w:w="1733" w:type="dxa"/>
            <w:tcBorders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kern w:val="0"/>
                <w:sz w:val="22"/>
                <w:szCs w:val="22"/>
                <w:lang w:val="ru-RU" w:eastAsia="ru-RU" w:bidi="ar-SA"/>
              </w:rPr>
            </w:r>
          </w:p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kern w:val="0"/>
                <w:sz w:val="22"/>
                <w:szCs w:val="22"/>
                <w:lang w:val="ru-RU" w:eastAsia="ru-RU" w:bidi="ar-SA"/>
              </w:rPr>
              <w:t>Предложение о цене, руб.</w:t>
            </w:r>
          </w:p>
        </w:tc>
        <w:tc>
          <w:tcPr>
            <w:tcW w:w="1425" w:type="dxa"/>
            <w:tcBorders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kern w:val="0"/>
                <w:sz w:val="22"/>
                <w:szCs w:val="22"/>
                <w:lang w:val="ru-RU" w:eastAsia="ru-RU" w:bidi="ar-SA"/>
              </w:rPr>
            </w:r>
          </w:p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kern w:val="0"/>
                <w:sz w:val="22"/>
                <w:szCs w:val="22"/>
                <w:lang w:val="ru-RU" w:eastAsia="ru-RU" w:bidi="ar-SA"/>
              </w:rPr>
              <w:t>Снижение цены, %</w:t>
            </w:r>
          </w:p>
        </w:tc>
        <w:tc>
          <w:tcPr>
            <w:tcW w:w="1815" w:type="dxa"/>
            <w:tcBorders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kern w:val="0"/>
                <w:sz w:val="22"/>
                <w:szCs w:val="20"/>
                <w:lang w:val="ru-RU" w:eastAsia="ru-RU" w:bidi="ar-SA"/>
              </w:rPr>
              <w:t>Порядковый номер заявки, присвоенный комиссией по осуществлению закупок</w:t>
            </w:r>
          </w:p>
        </w:tc>
      </w:tr>
      <w:tr>
        <w:trPr>
          <w:trHeight w:val="504" w:hRule="atLeast"/>
        </w:trPr>
        <w:tc>
          <w:tcPr>
            <w:tcW w:w="1515" w:type="dxa"/>
            <w:tcBorders/>
            <w:vAlign w:val="center"/>
          </w:tcPr>
          <w:p>
            <w:pPr>
              <w:pStyle w:val="Normal"/>
              <w:widowControl/>
              <w:spacing w:lineRule="auto" w:line="240" w:before="60" w:after="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kern w:val="0"/>
                <w:sz w:val="22"/>
                <w:szCs w:val="22"/>
                <w:lang w:val="ru-RU" w:eastAsia="ru-RU" w:bidi="ar-SA"/>
              </w:rPr>
              <w:t>1</w:t>
            </w:r>
          </w:p>
        </w:tc>
        <w:tc>
          <w:tcPr>
            <w:tcW w:w="1875" w:type="dxa"/>
            <w:tcBorders/>
            <w:vAlign w:val="center"/>
          </w:tcPr>
          <w:p>
            <w:pPr>
              <w:pStyle w:val="Normal"/>
              <w:widowControl/>
              <w:spacing w:lineRule="auto" w:line="240" w:before="60" w:after="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kern w:val="0"/>
                <w:sz w:val="22"/>
                <w:szCs w:val="22"/>
                <w:lang w:val="ru-RU" w:eastAsia="ru-RU" w:bidi="ar-SA"/>
              </w:rPr>
              <w:t>1</w:t>
            </w:r>
          </w:p>
          <w:p>
            <w:pPr>
              <w:pStyle w:val="Normal"/>
              <w:widowControl/>
              <w:spacing w:lineRule="auto" w:line="240" w:before="60" w:after="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kern w:val="0"/>
                <w:sz w:val="22"/>
                <w:szCs w:val="22"/>
                <w:lang w:val="ru-RU" w:eastAsia="ru-RU" w:bidi="ar-SA"/>
              </w:rPr>
              <w:t>21.09.2026 23:44:28 (MSK+00:00)</w:t>
            </w:r>
          </w:p>
        </w:tc>
        <w:tc>
          <w:tcPr>
            <w:tcW w:w="1837" w:type="dxa"/>
            <w:tcBorders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kern w:val="0"/>
                <w:sz w:val="22"/>
                <w:szCs w:val="22"/>
                <w:lang w:val="ru-RU" w:eastAsia="ru-RU" w:bidi="ar-SA"/>
              </w:rPr>
              <w:t>Соответствует</w:t>
            </w:r>
          </w:p>
        </w:tc>
        <w:tc>
          <w:tcPr>
            <w:tcW w:w="1733" w:type="dxa"/>
            <w:tcBorders/>
            <w:vAlign w:val="center"/>
          </w:tcPr>
          <w:p>
            <w:pPr>
              <w:pStyle w:val="Normal"/>
              <w:widowControl/>
              <w:spacing w:lineRule="auto" w:line="240" w:before="60" w:after="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kern w:val="0"/>
                <w:sz w:val="22"/>
                <w:szCs w:val="22"/>
                <w:lang w:val="ru-RU" w:eastAsia="ru-RU" w:bidi="ar-SA"/>
              </w:rPr>
              <w:t>8 754 670.00</w:t>
            </w:r>
          </w:p>
        </w:tc>
        <w:tc>
          <w:tcPr>
            <w:tcW w:w="1425" w:type="dxa"/>
            <w:tcBorders/>
            <w:vAlign w:val="center"/>
          </w:tcPr>
          <w:p>
            <w:pPr>
              <w:pStyle w:val="Normal"/>
              <w:widowControl/>
              <w:spacing w:lineRule="auto" w:line="240" w:before="60" w:after="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kern w:val="0"/>
                <w:sz w:val="22"/>
                <w:szCs w:val="22"/>
                <w:lang w:val="ru-RU" w:eastAsia="ru-RU" w:bidi="ar-SA"/>
              </w:rPr>
              <w:t>- 0.00 %</w:t>
            </w:r>
          </w:p>
        </w:tc>
        <w:tc>
          <w:tcPr>
            <w:tcW w:w="1815" w:type="dxa"/>
            <w:tcBorders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sz w:val="22"/>
                <w:szCs w:val="22"/>
              </w:rPr>
            </w:pPr>
            <w:r>
              <w:rPr>
                <w:kern w:val="0"/>
                <w:sz w:val="22"/>
                <w:szCs w:val="20"/>
                <w:lang w:val="ru-RU" w:eastAsia="ru-RU" w:bidi="ar-SA"/>
              </w:rPr>
              <w:t>1</w:t>
            </w:r>
          </w:p>
        </w:tc>
      </w:tr>
    </w:tbl>
    <w:p>
      <w:pPr>
        <w:pStyle w:val="ListParagraph"/>
        <w:widowControl w:val="false"/>
        <w:numPr>
          <w:ilvl w:val="0"/>
          <w:numId w:val="1"/>
        </w:numPr>
        <w:spacing w:lineRule="auto" w:line="240" w:before="60" w:after="0"/>
        <w:ind w:hanging="0" w:left="0"/>
        <w:contextualSpacing/>
        <w:jc w:val="both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Решение каждого члена комиссии по осуществлению закупок, принимавшего участие в рассмотрении заявок на участие в электронном запросе котировок, в отношении каждой заявки на участие в электронном запросе котировок:</w:t>
      </w:r>
    </w:p>
    <w:tbl>
      <w:tblPr>
        <w:tblW w:w="5000" w:type="pct"/>
        <w:jc w:val="left"/>
        <w:tblInd w:w="0" w:type="dxa"/>
        <w:tblLayout w:type="fixed"/>
        <w:tblCellMar>
          <w:top w:w="0" w:type="dxa"/>
          <w:left w:w="1" w:type="dxa"/>
          <w:bottom w:w="0" w:type="dxa"/>
          <w:right w:w="1" w:type="dxa"/>
        </w:tblCellMar>
      </w:tblPr>
      <w:tblGrid>
        <w:gridCol w:w="5031"/>
        <w:gridCol w:w="5031"/>
      </w:tblGrid>
      <w:tr>
        <w:trPr/>
        <w:tc>
          <w:tcPr>
            <w:tcW w:w="50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spacing w:before="0" w:after="200"/>
              <w:jc w:val="center"/>
              <w:rPr/>
            </w:pPr>
            <w:r>
              <w:rPr>
                <w:b/>
                <w:bCs/>
              </w:rPr>
              <w:t>Фамилия, имя, отчество</w:t>
            </w:r>
          </w:p>
        </w:tc>
        <w:tc>
          <w:tcPr>
            <w:tcW w:w="50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spacing w:before="0" w:after="200"/>
              <w:jc w:val="center"/>
              <w:rPr/>
            </w:pPr>
            <w:r>
              <w:rPr>
                <w:b/>
                <w:bCs/>
              </w:rPr>
              <w:t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50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left"/>
              <w:rPr/>
            </w:pPr>
            <w:r>
              <w:rPr/>
              <w:t>Идентификационный номер заявки: 1</w:t>
            </w:r>
          </w:p>
        </w:tc>
        <w:tc>
          <w:tcPr>
            <w:tcW w:w="50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50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left"/>
              <w:rPr/>
            </w:pPr>
            <w:r>
              <w:rPr/>
              <w:t>Колупаева Елена Олеговна</w:t>
            </w:r>
          </w:p>
        </w:tc>
        <w:tc>
          <w:tcPr>
            <w:tcW w:w="50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left"/>
              <w:rPr/>
            </w:pPr>
            <w:r>
              <w:rPr/>
              <w:t>Соответствует</w:t>
            </w:r>
          </w:p>
        </w:tc>
      </w:tr>
      <w:tr>
        <w:trPr/>
        <w:tc>
          <w:tcPr>
            <w:tcW w:w="50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left"/>
              <w:rPr/>
            </w:pPr>
            <w:r>
              <w:rPr/>
              <w:t>Романов Алексей Александрович</w:t>
            </w:r>
          </w:p>
        </w:tc>
        <w:tc>
          <w:tcPr>
            <w:tcW w:w="50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left"/>
              <w:rPr/>
            </w:pPr>
            <w:r>
              <w:rPr/>
              <w:t>Соответствует</w:t>
            </w:r>
          </w:p>
        </w:tc>
      </w:tr>
    </w:tbl>
    <w:p>
      <w:pPr>
        <w:pStyle w:val="ListParagraph"/>
        <w:keepNext w:val="true"/>
        <w:widowControl w:val="false"/>
        <w:numPr>
          <w:ilvl w:val="0"/>
          <w:numId w:val="1"/>
        </w:numPr>
        <w:spacing w:lineRule="auto" w:line="240" w:before="60" w:after="0"/>
        <w:contextualSpacing/>
        <w:jc w:val="both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В связи с тем, что по окончании срока подачи заявок на участие в закупке подана только одна заявка на участие в закупке, на основании п.1 ч.1 ст.52 Федерального закона № 44-ФЗ определение поставщика (подрядчика, исполнителя) по электронному запросу котировок признается несостоявшимся.</w:t>
      </w:r>
    </w:p>
    <w:p>
      <w:pPr>
        <w:pStyle w:val="ListParagraph"/>
        <w:keepNext w:val="true"/>
        <w:widowControl w:val="false"/>
        <w:numPr>
          <w:ilvl w:val="0"/>
          <w:numId w:val="1"/>
        </w:numPr>
        <w:spacing w:lineRule="auto" w:line="240" w:before="0" w:after="0"/>
        <w:contextualSpacing/>
        <w:jc w:val="both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На основании п.2 ч.3 ст.50 Федерального закона № 44-ФЗ настоящий протокол подведения итогов</w:t>
      </w:r>
      <w:r>
        <w:rPr/>
        <w:t xml:space="preserve"> </w:t>
      </w:r>
      <w:r>
        <w:rPr>
          <w:rFonts w:eastAsia="Times New Roman"/>
          <w:lang w:eastAsia="ru-RU"/>
        </w:rPr>
        <w:t>определения поставщика (подрядчика, исполнителя) сформирован заказчиком с использованием 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электронной площадки. Протокол будет размещен на сайте электронной торговой площадки «Фабрикант» по адресу в сети «Интернет»: http</w:t>
      </w:r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://44.fabrikant.ru и на сайте Единой информационной системы в сфере закупок (ЕИС) по адресу в сети «Интернет»: http://zakupki.gov.ru.</w:t>
      </w:r>
    </w:p>
    <w:p>
      <w:pPr>
        <w:pStyle w:val="Normal"/>
        <w:keepNext w:val="true"/>
        <w:widowControl w:val="false"/>
        <w:spacing w:lineRule="auto" w:line="240" w:before="60" w:after="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"ТАМБОВСКИЙ ОБЛАСТНОЙ МЕДИЦИНСКИЙ ИНФОРМАЦИОННО-АНАЛИТИЧЕСКИЙ ЦЕНТР"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Романов Алексей Александрович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00:8D:CC:42:F0:ED:8B:C3:E8:4F:68:3F:88:24:5F:65:43, действителен с 10.10.2025 11:43:30 по 03.01.2027 11:43:30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23.09.2026 11:48:14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"ТАМБОВСКИЙ ОБЛАСТНОЙ МЕДИЦИНСКИЙ ИНФОРМАЦИОННО-АНАЛИТИЧЕСКИЙ ЦЕНТР"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Колупаева Елена Олеговна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00:AC:35:F4:41:A7:23:70:4C:DA:8B:53:31:13:2E:A1:45, действителен с 04.12.2025 05:33:49 по 27.02.2027 05:33:49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23.09.2026 11:52:10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МИНИСТЕРСТВО ИМУЩЕСТВЕННЫХ ОТНОШЕНИЙ И ГОСУДАРСТВЕННОГО ЗАКАЗА ТАМБОВСКОЙ ОБЛАСТИ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Жукова Наталья Александровна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6C:BC:9B:5B:E6:50:5A:F6:7C:BF:F5:68:05:E3:BB:AA, действителен с 21.07.2026 09:57:39 по 14.10.2027 09:57:39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23.09.2026 14:34:46 МСК</w:t>
      </w:r>
    </w:p>
    <w:sectPr>
      <w:type w:val="nextPage"/>
      <w:pgSz w:w="11906" w:h="16838"/>
      <w:pgMar w:left="993" w:right="850" w:gutter="0" w:header="0" w:top="1134" w:footer="0" w:bottom="1134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Times New Roman">
    <w:charset w:val="cc"/>
    <w:family w:val="roman"/>
    <w:pitch w:val="variable"/>
  </w:font>
  <w:font w:name="Arial">
    <w:charset w:val="cc"/>
    <w:family w:val="roman"/>
    <w:pitch w:val="variable"/>
  </w:font>
  <w:font w:name="Liberation Sans">
    <w:altName w:val="Arial"/>
    <w:charset w:val="cc"/>
    <w:family w:val="swiss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isLgl/>
      <w:numFmt w:val="decimal"/>
      <w:lvlText w:val="%1."/>
      <w:lvlJc w:val="left"/>
      <w:pPr>
        <w:tabs>
          <w:tab w:val="num" w:pos="0"/>
        </w:tabs>
        <w:ind w:left="357" w:hanging="357"/>
      </w:pPr>
      <w:rPr>
        <w:color w:val="auto"/>
      </w:rPr>
    </w:lvl>
    <w:lvl w:ilvl="1">
      <w:start w:val="1"/>
      <w:isLgl/>
      <w:numFmt w:val="lowerLetter"/>
      <w:lvlText w:val="%2."/>
      <w:lvlJc w:val="left"/>
      <w:pPr>
        <w:tabs>
          <w:tab w:val="num" w:pos="0"/>
        </w:tabs>
        <w:ind w:left="1440" w:hanging="360"/>
      </w:pPr>
      <w:rPr/>
    </w:lvl>
    <w:lvl w:ilvl="2">
      <w:start w:val="1"/>
      <w:isLgl/>
      <w:numFmt w:val="lowerRoman"/>
      <w:lvlText w:val="%3."/>
      <w:lvlJc w:val="right"/>
      <w:pPr>
        <w:tabs>
          <w:tab w:val="num" w:pos="0"/>
        </w:tabs>
        <w:ind w:left="2160" w:hanging="180"/>
      </w:pPr>
      <w:rPr/>
    </w:lvl>
    <w:lvl w:ilvl="3">
      <w:start w:val="1"/>
      <w:isLgl/>
      <w:numFmt w:val="decimal"/>
      <w:lvlText w:val="%4."/>
      <w:lvlJc w:val="left"/>
      <w:pPr>
        <w:tabs>
          <w:tab w:val="num" w:pos="0"/>
        </w:tabs>
        <w:ind w:left="2880" w:hanging="360"/>
      </w:pPr>
      <w:rPr/>
    </w:lvl>
    <w:lvl w:ilvl="4">
      <w:start w:val="1"/>
      <w:isLgl/>
      <w:numFmt w:val="lowerLetter"/>
      <w:lvlText w:val="%5."/>
      <w:lvlJc w:val="left"/>
      <w:pPr>
        <w:tabs>
          <w:tab w:val="num" w:pos="0"/>
        </w:tabs>
        <w:ind w:left="3600" w:hanging="360"/>
      </w:pPr>
      <w:rPr/>
    </w:lvl>
    <w:lvl w:ilvl="5">
      <w:start w:val="1"/>
      <w:isLgl/>
      <w:numFmt w:val="lowerRoman"/>
      <w:lvlText w:val="%6."/>
      <w:lvlJc w:val="right"/>
      <w:pPr>
        <w:tabs>
          <w:tab w:val="num" w:pos="0"/>
        </w:tabs>
        <w:ind w:left="4320" w:hanging="180"/>
      </w:pPr>
      <w:rPr/>
    </w:lvl>
    <w:lvl w:ilvl="6">
      <w:start w:val="1"/>
      <w:isLgl/>
      <w:numFmt w:val="decimal"/>
      <w:lvlText w:val="%7."/>
      <w:lvlJc w:val="left"/>
      <w:pPr>
        <w:tabs>
          <w:tab w:val="num" w:pos="0"/>
        </w:tabs>
        <w:ind w:left="5040" w:hanging="360"/>
      </w:pPr>
      <w:rPr/>
    </w:lvl>
    <w:lvl w:ilvl="7">
      <w:start w:val="1"/>
      <w:isLgl/>
      <w:numFmt w:val="lowerLetter"/>
      <w:lvlText w:val="%8."/>
      <w:lvlJc w:val="left"/>
      <w:pPr>
        <w:tabs>
          <w:tab w:val="num" w:pos="0"/>
        </w:tabs>
        <w:ind w:left="5760" w:hanging="360"/>
      </w:pPr>
      <w:rPr/>
    </w:lvl>
    <w:lvl w:ilvl="8">
      <w:start w:val="1"/>
      <w:isLgl/>
      <w:numFmt w:val="lowerRoman"/>
      <w:lvlText w:val="%9."/>
      <w:lvlJc w:val="right"/>
      <w:pPr>
        <w:tabs>
          <w:tab w:val="num" w:pos="0"/>
        </w:tabs>
        <w:ind w:left="6480" w:hanging="180"/>
      </w:pPr>
      <w:rPr/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00"/>
  <w:defaultTabStop w:val="708"/>
  <w:autoHyphenation w:val="true"/>
  <w:hyphenationZone w:val="0"/>
  <w:compat>
    <w:compatSetting w:name="compatibilityMode" w:uri="http://schemas.microsoft.com/office/word" w:val="12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 w:eastAsia="zh-CN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Arial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pPr>
      <w:widowControl/>
      <w:bidi w:val="0"/>
      <w:spacing w:lineRule="auto" w:line="276" w:beforeAutospacing="0" w:before="0" w:afterAutospacing="0" w:after="200"/>
      <w:jc w:val="left"/>
    </w:pPr>
    <w:rPr>
      <w:rFonts w:ascii="Times New Roman" w:hAnsi="Times New Roman" w:eastAsia="Calibri" w:cs="Times New Roman" w:eastAsiaTheme="minorHAnsi"/>
      <w:color w:val="auto"/>
      <w:kern w:val="0"/>
      <w:sz w:val="22"/>
      <w:szCs w:val="22"/>
      <w:lang w:val="ru-RU" w:eastAsia="en-US" w:bidi="ar-SA"/>
    </w:rPr>
  </w:style>
  <w:style w:type="paragraph" w:styleId="Heading1">
    <w:name w:val="heading 1"/>
    <w:basedOn w:val="Normal"/>
    <w:uiPriority w:val="9"/>
    <w:qFormat/>
    <w:pPr>
      <w:keepNext w:val="true"/>
      <w:keepLines/>
      <w:spacing w:before="480" w:after="200"/>
      <w:outlineLvl w:val="0"/>
    </w:pPr>
    <w:rPr>
      <w:rFonts w:ascii="Arial" w:hAnsi="Arial" w:eastAsia="Arial" w:cs="Arial"/>
      <w:sz w:val="40"/>
      <w:szCs w:val="40"/>
    </w:rPr>
  </w:style>
  <w:style w:type="paragraph" w:styleId="Heading2">
    <w:name w:val="heading 2"/>
    <w:basedOn w:val="Normal"/>
    <w:uiPriority w:val="9"/>
    <w:unhideWhenUsed/>
    <w:qFormat/>
    <w:pPr>
      <w:keepNext w:val="true"/>
      <w:keepLines/>
      <w:spacing w:before="360" w:after="200"/>
      <w:outlineLvl w:val="1"/>
    </w:pPr>
    <w:rPr>
      <w:rFonts w:ascii="Arial" w:hAnsi="Arial" w:eastAsia="Arial" w:cs="Arial"/>
      <w:sz w:val="34"/>
    </w:rPr>
  </w:style>
  <w:style w:type="paragraph" w:styleId="Heading3">
    <w:name w:val="heading 3"/>
    <w:basedOn w:val="Normal"/>
    <w:uiPriority w:val="9"/>
    <w:unhideWhenUsed/>
    <w:qFormat/>
    <w:pPr>
      <w:keepNext w:val="true"/>
      <w:keepLines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paragraph" w:styleId="Heading4">
    <w:name w:val="heading 4"/>
    <w:basedOn w:val="Normal"/>
    <w:uiPriority w:val="9"/>
    <w:unhideWhenUsed/>
    <w:qFormat/>
    <w:pPr>
      <w:keepNext w:val="true"/>
      <w:keepLines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Heading5">
    <w:name w:val="heading 5"/>
    <w:basedOn w:val="Normal"/>
    <w:uiPriority w:val="9"/>
    <w:unhideWhenUsed/>
    <w:qFormat/>
    <w:pPr>
      <w:keepNext w:val="true"/>
      <w:keepLines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Heading6">
    <w:name w:val="heading 6"/>
    <w:basedOn w:val="Normal"/>
    <w:uiPriority w:val="9"/>
    <w:unhideWhenUsed/>
    <w:qFormat/>
    <w:pPr>
      <w:keepNext w:val="true"/>
      <w:keepLines/>
      <w:spacing w:before="320" w:after="200"/>
      <w:outlineLvl w:val="5"/>
    </w:pPr>
    <w:rPr>
      <w:rFonts w:ascii="Arial" w:hAnsi="Arial" w:eastAsia="Arial" w:cs="Arial"/>
      <w:b/>
      <w:bCs/>
    </w:rPr>
  </w:style>
  <w:style w:type="paragraph" w:styleId="Heading7">
    <w:name w:val="heading 7"/>
    <w:basedOn w:val="Normal"/>
    <w:uiPriority w:val="9"/>
    <w:unhideWhenUsed/>
    <w:qFormat/>
    <w:pPr>
      <w:keepNext w:val="true"/>
      <w:keepLines/>
      <w:spacing w:before="320" w:after="200"/>
      <w:outlineLvl w:val="6"/>
    </w:pPr>
    <w:rPr>
      <w:rFonts w:ascii="Arial" w:hAnsi="Arial" w:eastAsia="Arial" w:cs="Arial"/>
      <w:b/>
      <w:bCs/>
      <w:i/>
      <w:iCs/>
    </w:rPr>
  </w:style>
  <w:style w:type="paragraph" w:styleId="Heading8">
    <w:name w:val="heading 8"/>
    <w:basedOn w:val="Normal"/>
    <w:uiPriority w:val="9"/>
    <w:unhideWhenUsed/>
    <w:qFormat/>
    <w:pPr>
      <w:keepNext w:val="true"/>
      <w:keepLines/>
      <w:spacing w:before="320" w:after="200"/>
      <w:outlineLvl w:val="7"/>
    </w:pPr>
    <w:rPr>
      <w:rFonts w:ascii="Arial" w:hAnsi="Arial" w:eastAsia="Arial" w:cs="Arial"/>
      <w:i/>
      <w:iCs/>
    </w:rPr>
  </w:style>
  <w:style w:type="paragraph" w:styleId="Heading9">
    <w:name w:val="heading 9"/>
    <w:basedOn w:val="Normal"/>
    <w:uiPriority w:val="9"/>
    <w:unhideWhenUsed/>
    <w:qFormat/>
    <w:pPr>
      <w:keepNext w:val="true"/>
      <w:keepLines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Heading1Char">
    <w:name w:val="Heading 1 Char"/>
    <w:basedOn w:val="DefaultParagraphFont"/>
    <w:uiPriority w:val="9"/>
    <w:qFormat/>
    <w:rPr>
      <w:rFonts w:ascii="Arial" w:hAnsi="Arial" w:eastAsia="Arial" w:cs="Arial"/>
      <w:sz w:val="40"/>
      <w:szCs w:val="40"/>
    </w:rPr>
  </w:style>
  <w:style w:type="character" w:styleId="Heading2Char">
    <w:name w:val="Heading 2 Char"/>
    <w:basedOn w:val="DefaultParagraphFont"/>
    <w:uiPriority w:val="9"/>
    <w:qFormat/>
    <w:rPr>
      <w:rFonts w:ascii="Arial" w:hAnsi="Arial" w:eastAsia="Arial" w:cs="Arial"/>
      <w:sz w:val="34"/>
    </w:rPr>
  </w:style>
  <w:style w:type="character" w:styleId="Heading3Char">
    <w:name w:val="Heading 3 Char"/>
    <w:basedOn w:val="DefaultParagraphFont"/>
    <w:uiPriority w:val="9"/>
    <w:qFormat/>
    <w:rPr>
      <w:rFonts w:ascii="Arial" w:hAnsi="Arial" w:eastAsia="Arial" w:cs="Arial"/>
      <w:sz w:val="30"/>
      <w:szCs w:val="30"/>
    </w:rPr>
  </w:style>
  <w:style w:type="character" w:styleId="Heading4Char">
    <w:name w:val="Heading 4 Char"/>
    <w:basedOn w:val="DefaultParagraphFont"/>
    <w:uiPriority w:val="9"/>
    <w:qFormat/>
    <w:rPr>
      <w:rFonts w:ascii="Arial" w:hAnsi="Arial" w:eastAsia="Arial" w:cs="Arial"/>
      <w:b/>
      <w:bCs/>
      <w:sz w:val="26"/>
      <w:szCs w:val="26"/>
    </w:rPr>
  </w:style>
  <w:style w:type="character" w:styleId="Heading5Char">
    <w:name w:val="Heading 5 Char"/>
    <w:basedOn w:val="DefaultParagraphFont"/>
    <w:uiPriority w:val="9"/>
    <w:qFormat/>
    <w:rPr>
      <w:rFonts w:ascii="Arial" w:hAnsi="Arial" w:eastAsia="Arial" w:cs="Arial"/>
      <w:b/>
      <w:bCs/>
      <w:sz w:val="24"/>
      <w:szCs w:val="24"/>
    </w:rPr>
  </w:style>
  <w:style w:type="character" w:styleId="Heading6Char">
    <w:name w:val="Heading 6 Char"/>
    <w:basedOn w:val="DefaultParagraphFont"/>
    <w:uiPriority w:val="9"/>
    <w:qFormat/>
    <w:rPr>
      <w:rFonts w:ascii="Arial" w:hAnsi="Arial" w:eastAsia="Arial" w:cs="Arial"/>
      <w:b/>
      <w:bCs/>
      <w:sz w:val="22"/>
      <w:szCs w:val="22"/>
    </w:rPr>
  </w:style>
  <w:style w:type="character" w:styleId="Heading7Char">
    <w:name w:val="Heading 7 Char"/>
    <w:basedOn w:val="DefaultParagraphFont"/>
    <w:uiPriority w:val="9"/>
    <w:qFormat/>
    <w:rPr>
      <w:rFonts w:ascii="Arial" w:hAnsi="Arial" w:eastAsia="Arial" w:cs="Arial"/>
      <w:b/>
      <w:bCs/>
      <w:i/>
      <w:iCs/>
      <w:sz w:val="22"/>
      <w:szCs w:val="22"/>
    </w:rPr>
  </w:style>
  <w:style w:type="character" w:styleId="Heading8Char">
    <w:name w:val="Heading 8 Char"/>
    <w:basedOn w:val="DefaultParagraphFont"/>
    <w:uiPriority w:val="9"/>
    <w:qFormat/>
    <w:rPr>
      <w:rFonts w:ascii="Arial" w:hAnsi="Arial" w:eastAsia="Arial" w:cs="Arial"/>
      <w:i/>
      <w:iCs/>
      <w:sz w:val="22"/>
      <w:szCs w:val="22"/>
    </w:rPr>
  </w:style>
  <w:style w:type="character" w:styleId="Heading9Char">
    <w:name w:val="Heading 9 Char"/>
    <w:basedOn w:val="DefaultParagraphFont"/>
    <w:uiPriority w:val="9"/>
    <w:qFormat/>
    <w:rPr>
      <w:rFonts w:ascii="Arial" w:hAnsi="Arial" w:eastAsia="Arial" w:cs="Arial"/>
      <w:i/>
      <w:iCs/>
      <w:sz w:val="21"/>
      <w:szCs w:val="21"/>
    </w:rPr>
  </w:style>
  <w:style w:type="character" w:styleId="TitleChar">
    <w:name w:val="Title Char"/>
    <w:basedOn w:val="DefaultParagraphFont"/>
    <w:uiPriority w:val="10"/>
    <w:qFormat/>
    <w:rPr>
      <w:sz w:val="48"/>
      <w:szCs w:val="48"/>
    </w:rPr>
  </w:style>
  <w:style w:type="character" w:styleId="SubtitleChar">
    <w:name w:val="Subtitle Char"/>
    <w:basedOn w:val="DefaultParagraphFont"/>
    <w:uiPriority w:val="11"/>
    <w:qFormat/>
    <w:rPr>
      <w:sz w:val="24"/>
      <w:szCs w:val="24"/>
    </w:rPr>
  </w:style>
  <w:style w:type="character" w:styleId="QuoteChar">
    <w:name w:val="Quote Char"/>
    <w:uiPriority w:val="29"/>
    <w:qFormat/>
    <w:rPr>
      <w:i/>
    </w:rPr>
  </w:style>
  <w:style w:type="character" w:styleId="IntenseQuoteChar">
    <w:name w:val="Intense Quote Char"/>
    <w:uiPriority w:val="30"/>
    <w:qFormat/>
    <w:rPr>
      <w:i/>
    </w:rPr>
  </w:style>
  <w:style w:type="character" w:styleId="HeaderChar">
    <w:name w:val="Header Char"/>
    <w:basedOn w:val="DefaultParagraphFont"/>
    <w:uiPriority w:val="99"/>
    <w:qFormat/>
    <w:rPr/>
  </w:style>
  <w:style w:type="character" w:styleId="CaptionChar">
    <w:name w:val="Caption Char"/>
    <w:uiPriority w:val="99"/>
    <w:qFormat/>
    <w:rPr/>
  </w:style>
  <w:style w:type="character" w:styleId="FootnoteTextChar">
    <w:name w:val="Footnote Text Char"/>
    <w:uiPriority w:val="99"/>
    <w:qFormat/>
    <w:rPr>
      <w:sz w:val="18"/>
    </w:rPr>
  </w:style>
  <w:style w:type="character" w:styleId="EndnoteTextChar">
    <w:name w:val="Endnote Text Char"/>
    <w:uiPriority w:val="99"/>
    <w:qFormat/>
    <w:rPr>
      <w:sz w:val="20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1" w:customStyle="1">
    <w:name w:val="Заголовок 1 Знак"/>
    <w:basedOn w:val="DefaultParagraphFont"/>
    <w:uiPriority w:val="9"/>
    <w:qFormat/>
    <w:rPr>
      <w:rFonts w:ascii="Arial" w:hAnsi="Arial" w:eastAsia="Arial" w:cs="Arial"/>
      <w:sz w:val="40"/>
      <w:szCs w:val="40"/>
    </w:rPr>
  </w:style>
  <w:style w:type="character" w:styleId="2" w:customStyle="1">
    <w:name w:val="Заголовок 2 Знак"/>
    <w:basedOn w:val="DefaultParagraphFont"/>
    <w:uiPriority w:val="9"/>
    <w:qFormat/>
    <w:rPr>
      <w:rFonts w:ascii="Arial" w:hAnsi="Arial" w:eastAsia="Arial" w:cs="Arial"/>
      <w:sz w:val="34"/>
    </w:rPr>
  </w:style>
  <w:style w:type="character" w:styleId="3" w:customStyle="1">
    <w:name w:val="Заголовок 3 Знак"/>
    <w:basedOn w:val="DefaultParagraphFont"/>
    <w:uiPriority w:val="9"/>
    <w:qFormat/>
    <w:rPr>
      <w:rFonts w:ascii="Arial" w:hAnsi="Arial" w:eastAsia="Arial" w:cs="Arial"/>
      <w:sz w:val="30"/>
      <w:szCs w:val="30"/>
    </w:rPr>
  </w:style>
  <w:style w:type="character" w:styleId="4" w:customStyle="1">
    <w:name w:val="Заголовок 4 Знак"/>
    <w:basedOn w:val="DefaultParagraphFont"/>
    <w:uiPriority w:val="9"/>
    <w:qFormat/>
    <w:rPr>
      <w:rFonts w:ascii="Arial" w:hAnsi="Arial" w:eastAsia="Arial" w:cs="Arial"/>
      <w:b/>
      <w:bCs/>
      <w:sz w:val="26"/>
      <w:szCs w:val="26"/>
    </w:rPr>
  </w:style>
  <w:style w:type="character" w:styleId="5" w:customStyle="1">
    <w:name w:val="Заголовок 5 Знак"/>
    <w:basedOn w:val="DefaultParagraphFont"/>
    <w:uiPriority w:val="9"/>
    <w:qFormat/>
    <w:rPr>
      <w:rFonts w:ascii="Arial" w:hAnsi="Arial" w:eastAsia="Arial" w:cs="Arial"/>
      <w:b/>
      <w:bCs/>
      <w:sz w:val="24"/>
      <w:szCs w:val="24"/>
    </w:rPr>
  </w:style>
  <w:style w:type="character" w:styleId="6" w:customStyle="1">
    <w:name w:val="Заголовок 6 Знак"/>
    <w:basedOn w:val="DefaultParagraphFont"/>
    <w:uiPriority w:val="9"/>
    <w:qFormat/>
    <w:rPr>
      <w:rFonts w:ascii="Arial" w:hAnsi="Arial" w:eastAsia="Arial" w:cs="Arial"/>
      <w:b/>
      <w:bCs/>
      <w:sz w:val="22"/>
      <w:szCs w:val="22"/>
    </w:rPr>
  </w:style>
  <w:style w:type="character" w:styleId="7" w:customStyle="1">
    <w:name w:val="Заголовок 7 Знак"/>
    <w:basedOn w:val="DefaultParagraphFont"/>
    <w:uiPriority w:val="9"/>
    <w:qFormat/>
    <w:rPr>
      <w:rFonts w:ascii="Arial" w:hAnsi="Arial" w:eastAsia="Arial" w:cs="Arial"/>
      <w:b/>
      <w:bCs/>
      <w:i/>
      <w:iCs/>
      <w:sz w:val="22"/>
      <w:szCs w:val="22"/>
    </w:rPr>
  </w:style>
  <w:style w:type="character" w:styleId="8" w:customStyle="1">
    <w:name w:val="Заголовок 8 Знак"/>
    <w:basedOn w:val="DefaultParagraphFont"/>
    <w:uiPriority w:val="9"/>
    <w:qFormat/>
    <w:rPr>
      <w:rFonts w:ascii="Arial" w:hAnsi="Arial" w:eastAsia="Arial" w:cs="Arial"/>
      <w:i/>
      <w:iCs/>
      <w:sz w:val="22"/>
      <w:szCs w:val="22"/>
    </w:rPr>
  </w:style>
  <w:style w:type="character" w:styleId="9" w:customStyle="1">
    <w:name w:val="Заголовок 9 Знак"/>
    <w:basedOn w:val="DefaultParagraphFont"/>
    <w:uiPriority w:val="9"/>
    <w:qFormat/>
    <w:rPr>
      <w:rFonts w:ascii="Arial" w:hAnsi="Arial" w:eastAsia="Arial" w:cs="Arial"/>
      <w:i/>
      <w:iCs/>
      <w:sz w:val="21"/>
      <w:szCs w:val="21"/>
    </w:rPr>
  </w:style>
  <w:style w:type="character" w:styleId="Style5" w:customStyle="1">
    <w:name w:val="Название Знак"/>
    <w:basedOn w:val="DefaultParagraphFont"/>
    <w:uiPriority w:val="10"/>
    <w:qFormat/>
    <w:rPr>
      <w:sz w:val="48"/>
      <w:szCs w:val="48"/>
    </w:rPr>
  </w:style>
  <w:style w:type="character" w:styleId="Style6" w:customStyle="1">
    <w:name w:val="Подзаголовок Знак"/>
    <w:basedOn w:val="DefaultParagraphFont"/>
    <w:uiPriority w:val="11"/>
    <w:qFormat/>
    <w:rPr>
      <w:sz w:val="24"/>
      <w:szCs w:val="24"/>
    </w:rPr>
  </w:style>
  <w:style w:type="character" w:styleId="21" w:customStyle="1">
    <w:name w:val="Цитата 2 Знак"/>
    <w:uiPriority w:val="29"/>
    <w:qFormat/>
    <w:rPr>
      <w:i/>
    </w:rPr>
  </w:style>
  <w:style w:type="character" w:styleId="Style7" w:customStyle="1">
    <w:name w:val="Выделенная цитата Знак"/>
    <w:uiPriority w:val="30"/>
    <w:qFormat/>
    <w:rPr>
      <w:i/>
    </w:rPr>
  </w:style>
  <w:style w:type="character" w:styleId="Style8" w:customStyle="1">
    <w:name w:val="Верхний колонтитул Знак"/>
    <w:basedOn w:val="DefaultParagraphFont"/>
    <w:uiPriority w:val="99"/>
    <w:qFormat/>
    <w:rPr/>
  </w:style>
  <w:style w:type="character" w:styleId="FooterChar" w:customStyle="1">
    <w:name w:val="Footer Char"/>
    <w:basedOn w:val="DefaultParagraphFont"/>
    <w:uiPriority w:val="99"/>
    <w:qFormat/>
    <w:rPr/>
  </w:style>
  <w:style w:type="character" w:styleId="Style9" w:customStyle="1">
    <w:name w:val="Нижний колонтитул Знак"/>
    <w:uiPriority w:val="99"/>
    <w:qFormat/>
    <w:rPr/>
  </w:style>
  <w:style w:type="character" w:styleId="Style10" w:customStyle="1">
    <w:name w:val="Текст сноски Знак"/>
    <w:uiPriority w:val="99"/>
    <w:qFormat/>
    <w:rPr>
      <w:sz w:val="18"/>
    </w:rPr>
  </w:style>
  <w:style w:type="character" w:styleId="Style11">
    <w:name w:val="Символ сноски"/>
    <w:basedOn w:val="DefaultParagraphFont"/>
    <w:uiPriority w:val="99"/>
    <w:unhideWhenUsed/>
    <w:qFormat/>
    <w:rPr>
      <w:vertAlign w:val="superscript"/>
    </w:rPr>
  </w:style>
  <w:style w:type="character" w:styleId="FootnoteReference">
    <w:name w:val="footnote reference"/>
    <w:rPr>
      <w:vertAlign w:val="superscript"/>
    </w:rPr>
  </w:style>
  <w:style w:type="character" w:styleId="Style12" w:customStyle="1">
    <w:name w:val="Текст концевой сноски Знак"/>
    <w:uiPriority w:val="99"/>
    <w:qFormat/>
    <w:rPr>
      <w:sz w:val="20"/>
    </w:rPr>
  </w:style>
  <w:style w:type="character" w:styleId="Style13">
    <w:name w:val="Символ концевой сноски"/>
    <w:basedOn w:val="DefaultParagraphFont"/>
    <w:uiPriority w:val="99"/>
    <w:semiHidden/>
    <w:unhideWhenUsed/>
    <w:qFormat/>
    <w:rPr>
      <w:vertAlign w:val="superscript"/>
    </w:rPr>
  </w:style>
  <w:style w:type="character" w:styleId="EndnoteReference">
    <w:name w:val="endnote reference"/>
    <w:rPr>
      <w:vertAlign w:val="superscript"/>
    </w:rPr>
  </w:style>
  <w:style w:type="character" w:styleId="Hyperlink">
    <w:name w:val="Hyperlink"/>
    <w:basedOn w:val="DefaultParagraphFont"/>
    <w:uiPriority w:val="99"/>
    <w:semiHidden/>
    <w:unhideWhenUsed/>
    <w:rPr>
      <w:color w:val="0000FF"/>
      <w:u w:val="single"/>
    </w:rPr>
  </w:style>
  <w:style w:type="paragraph" w:styleId="Style14">
    <w:name w:val="Заголовок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Mangal"/>
    </w:rPr>
  </w:style>
  <w:style w:type="paragraph" w:styleId="Caption">
    <w:name w:val="caption"/>
    <w:basedOn w:val="Normal"/>
    <w:uiPriority w:val="35"/>
    <w:semiHidden/>
    <w:unhideWhenUsed/>
    <w:qFormat/>
    <w:pPr/>
    <w:rPr>
      <w:b/>
      <w:bCs/>
      <w:color w:themeColor="accent1" w:val="4F81BD"/>
      <w:sz w:val="18"/>
      <w:szCs w:val="18"/>
    </w:rPr>
  </w:style>
  <w:style w:type="paragraph" w:styleId="Style15">
    <w:name w:val="Указатель"/>
    <w:basedOn w:val="Normal"/>
    <w:qFormat/>
    <w:pPr>
      <w:suppressLineNumbers/>
    </w:pPr>
    <w:rPr>
      <w:rFonts w:cs="Mangal"/>
    </w:rPr>
  </w:style>
  <w:style w:type="paragraph" w:styleId="Title">
    <w:name w:val="Title"/>
    <w:basedOn w:val="Normal"/>
    <w:uiPriority w:val="10"/>
    <w:qFormat/>
    <w:pPr>
      <w:spacing w:before="300" w:after="200"/>
      <w:contextualSpacing/>
    </w:pPr>
    <w:rPr>
      <w:sz w:val="48"/>
      <w:szCs w:val="48"/>
    </w:rPr>
  </w:style>
  <w:style w:type="paragraph" w:styleId="Subtitle">
    <w:name w:val="Subtitle"/>
    <w:basedOn w:val="Normal"/>
    <w:uiPriority w:val="11"/>
    <w:qFormat/>
    <w:pPr>
      <w:spacing w:before="200" w:after="200"/>
    </w:pPr>
    <w:rPr>
      <w:sz w:val="24"/>
      <w:szCs w:val="24"/>
    </w:rPr>
  </w:style>
  <w:style w:type="paragraph" w:styleId="Quote">
    <w:name w:val="Quote"/>
    <w:basedOn w:val="Normal"/>
    <w:uiPriority w:val="29"/>
    <w:qFormat/>
    <w:pPr>
      <w:ind w:left="720" w:right="720"/>
    </w:pPr>
    <w:rPr>
      <w:i/>
    </w:rPr>
  </w:style>
  <w:style w:type="paragraph" w:styleId="IntenseQuote">
    <w:name w:val="Intense Quote"/>
    <w:basedOn w:val="Normal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paragraph" w:styleId="Style16">
    <w:name w:val="Колонтитулы"/>
    <w:basedOn w:val="Normal"/>
    <w:qFormat/>
    <w:pPr/>
    <w:rPr/>
  </w:style>
  <w:style w:type="paragraph" w:styleId="Header">
    <w:name w:val="header"/>
    <w:basedOn w:val="Normal"/>
    <w:uiPriority w:val="99"/>
    <w:unhideWhenUsed/>
    <w:pPr>
      <w:tabs>
        <w:tab w:val="clear" w:pos="708"/>
        <w:tab w:val="center" w:pos="7143" w:leader="none"/>
        <w:tab w:val="right" w:pos="14287" w:leader="none"/>
      </w:tabs>
      <w:spacing w:lineRule="auto" w:line="240" w:before="0" w:after="0"/>
    </w:pPr>
    <w:rPr/>
  </w:style>
  <w:style w:type="paragraph" w:styleId="Footer">
    <w:name w:val="footer"/>
    <w:basedOn w:val="Normal"/>
    <w:uiPriority w:val="99"/>
    <w:unhideWhenUsed/>
    <w:pPr>
      <w:tabs>
        <w:tab w:val="clear" w:pos="708"/>
        <w:tab w:val="center" w:pos="7143" w:leader="none"/>
        <w:tab w:val="right" w:pos="14287" w:leader="none"/>
      </w:tabs>
      <w:spacing w:lineRule="auto" w:line="240" w:before="0" w:after="0"/>
    </w:pPr>
    <w:rPr/>
  </w:style>
  <w:style w:type="paragraph" w:styleId="FootnoteText">
    <w:name w:val="footnote text"/>
    <w:basedOn w:val="Normal"/>
    <w:uiPriority w:val="99"/>
    <w:semiHidden/>
    <w:unhideWhenUsed/>
    <w:pPr>
      <w:spacing w:lineRule="auto" w:line="240" w:before="0" w:after="40"/>
    </w:pPr>
    <w:rPr>
      <w:sz w:val="18"/>
    </w:rPr>
  </w:style>
  <w:style w:type="paragraph" w:styleId="EndnoteText">
    <w:name w:val="endnote text"/>
    <w:basedOn w:val="Normal"/>
    <w:uiPriority w:val="99"/>
    <w:semiHidden/>
    <w:unhideWhenUsed/>
    <w:pPr>
      <w:spacing w:lineRule="auto" w:line="240" w:before="0" w:after="0"/>
    </w:pPr>
    <w:rPr>
      <w:sz w:val="20"/>
    </w:rPr>
  </w:style>
  <w:style w:type="paragraph" w:styleId="TOC1">
    <w:name w:val="toc 1"/>
    <w:basedOn w:val="Normal"/>
    <w:uiPriority w:val="39"/>
    <w:unhideWhenUsed/>
    <w:pPr>
      <w:spacing w:before="0" w:after="57"/>
    </w:pPr>
    <w:rPr/>
  </w:style>
  <w:style w:type="paragraph" w:styleId="TOC2">
    <w:name w:val="toc 2"/>
    <w:basedOn w:val="Normal"/>
    <w:uiPriority w:val="39"/>
    <w:unhideWhenUsed/>
    <w:pPr>
      <w:spacing w:before="0" w:after="57"/>
      <w:ind w:left="283"/>
    </w:pPr>
    <w:rPr/>
  </w:style>
  <w:style w:type="paragraph" w:styleId="TOC3">
    <w:name w:val="toc 3"/>
    <w:basedOn w:val="Normal"/>
    <w:uiPriority w:val="39"/>
    <w:unhideWhenUsed/>
    <w:pPr>
      <w:spacing w:before="0" w:after="57"/>
      <w:ind w:left="567"/>
    </w:pPr>
    <w:rPr/>
  </w:style>
  <w:style w:type="paragraph" w:styleId="TOC4">
    <w:name w:val="toc 4"/>
    <w:basedOn w:val="Normal"/>
    <w:uiPriority w:val="39"/>
    <w:unhideWhenUsed/>
    <w:pPr>
      <w:spacing w:before="0" w:after="57"/>
      <w:ind w:left="850"/>
    </w:pPr>
    <w:rPr/>
  </w:style>
  <w:style w:type="paragraph" w:styleId="TOC5">
    <w:name w:val="toc 5"/>
    <w:basedOn w:val="Normal"/>
    <w:uiPriority w:val="39"/>
    <w:unhideWhenUsed/>
    <w:pPr>
      <w:spacing w:before="0" w:after="57"/>
      <w:ind w:left="1134"/>
    </w:pPr>
    <w:rPr/>
  </w:style>
  <w:style w:type="paragraph" w:styleId="TOC6">
    <w:name w:val="toc 6"/>
    <w:basedOn w:val="Normal"/>
    <w:uiPriority w:val="39"/>
    <w:unhideWhenUsed/>
    <w:pPr>
      <w:spacing w:before="0" w:after="57"/>
      <w:ind w:left="1417"/>
    </w:pPr>
    <w:rPr/>
  </w:style>
  <w:style w:type="paragraph" w:styleId="TOC7">
    <w:name w:val="toc 7"/>
    <w:basedOn w:val="Normal"/>
    <w:uiPriority w:val="39"/>
    <w:unhideWhenUsed/>
    <w:pPr>
      <w:spacing w:before="0" w:after="57"/>
      <w:ind w:left="1701"/>
    </w:pPr>
    <w:rPr/>
  </w:style>
  <w:style w:type="paragraph" w:styleId="TOC8">
    <w:name w:val="toc 8"/>
    <w:basedOn w:val="Normal"/>
    <w:uiPriority w:val="39"/>
    <w:unhideWhenUsed/>
    <w:pPr>
      <w:spacing w:before="0" w:after="57"/>
      <w:ind w:left="1984"/>
    </w:pPr>
    <w:rPr/>
  </w:style>
  <w:style w:type="paragraph" w:styleId="TOC9">
    <w:name w:val="toc 9"/>
    <w:basedOn w:val="Normal"/>
    <w:uiPriority w:val="39"/>
    <w:unhideWhenUsed/>
    <w:pPr>
      <w:spacing w:before="0" w:after="57"/>
      <w:ind w:left="2268"/>
    </w:pPr>
    <w:rPr/>
  </w:style>
  <w:style w:type="paragraph" w:styleId="IndexHeading">
    <w:name w:val="index heading"/>
    <w:basedOn w:val="Style14"/>
    <w:pPr/>
    <w:rPr/>
  </w:style>
  <w:style w:type="paragraph" w:styleId="TOCHeading">
    <w:name w:val="TOC Heading"/>
    <w:uiPriority w:val="39"/>
    <w:unhideWhenUsed/>
    <w:qFormat/>
    <w:pPr>
      <w:widowControl/>
      <w:bidi w:val="0"/>
      <w:spacing w:lineRule="auto" w:line="276" w:beforeAutospacing="0" w:before="0" w:afterAutospacing="0" w:after="200"/>
      <w:jc w:val="left"/>
    </w:pPr>
    <w:rPr>
      <w:rFonts w:ascii="Calibri" w:hAnsi="Calibri" w:eastAsia="Calibri" w:cs="Arial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paragraph" w:styleId="TableofFigures">
    <w:name w:val="table of figures"/>
    <w:basedOn w:val="Normal"/>
    <w:uiPriority w:val="99"/>
    <w:unhideWhenUsed/>
    <w:pPr>
      <w:spacing w:before="0" w:after="0"/>
    </w:pPr>
    <w:rPr/>
  </w:style>
  <w:style w:type="paragraph" w:styleId="ListParagraph1" w:customStyle="1">
    <w:name w:val="List Paragraph1"/>
    <w:basedOn w:val="Normal"/>
    <w:qFormat/>
    <w:pPr>
      <w:ind w:left="720"/>
    </w:pPr>
    <w:rPr>
      <w:rFonts w:eastAsia="Times New Roman" w:cs="Calibri"/>
    </w:rPr>
  </w:style>
  <w:style w:type="paragraph" w:styleId="ListParagraph">
    <w:name w:val="List Paragraph"/>
    <w:basedOn w:val="Normal"/>
    <w:uiPriority w:val="34"/>
    <w:qFormat/>
    <w:pPr>
      <w:spacing w:before="0" w:after="200"/>
      <w:ind w:left="720"/>
      <w:contextualSpacing/>
    </w:pPr>
    <w:rPr/>
  </w:style>
  <w:style w:type="paragraph" w:styleId="NoSpacing">
    <w:name w:val="No Spacing"/>
    <w:uiPriority w:val="1"/>
    <w:qFormat/>
    <w:pPr>
      <w:widowControl/>
      <w:bidi w:val="0"/>
      <w:spacing w:lineRule="auto" w:line="240" w:beforeAutospacing="0" w:before="0" w:afterAutospacing="0" w:after="0"/>
      <w:jc w:val="left"/>
    </w:pPr>
    <w:rPr>
      <w:rFonts w:ascii="Calibri" w:hAnsi="Calibri" w:eastAsia="Calibri" w:cs="Times New Roman" w:asciiTheme="minorHAnsi" w:eastAsiaTheme="minorHAnsi" w:hAnsiTheme="minorHAnsi"/>
      <w:color w:val="auto"/>
      <w:kern w:val="0"/>
      <w:sz w:val="22"/>
      <w:szCs w:val="22"/>
      <w:lang w:val="ru-RU" w:eastAsia="en-US" w:bidi="ar-SA"/>
    </w:rPr>
  </w:style>
  <w:style w:type="numbering" w:styleId="Style17" w:default="1">
    <w:name w:val="Без списка"/>
    <w:uiPriority w:val="99"/>
    <w:semiHidden/>
    <w:unhideWhenUsed/>
    <w:qFormat/>
  </w:style>
  <w:style w:type="numbering" w:styleId="11" w:customStyle="1">
    <w:name w:val="Стиль1"/>
    <w:uiPriority w:val="99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 pitchFamily="0" charset="1"/>
        <a:ea typeface="Arial" pitchFamily="0" charset="1"/>
        <a:cs typeface="Arial" pitchFamily="0" charset="1"/>
      </a:majorFont>
      <a:minorFont>
        <a:latin typeface="Calibri" pitchFamily="0" charset="1"/>
        <a:ea typeface="Arial" pitchFamily="0" charset="1"/>
        <a:cs typeface="Arial" pitchFamily="0" charset="1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 l="0" t="0" r="0" b="0"/>
        </a:gradFill>
        <a:gradFill>
          <a:gsLst>
            <a:gs pos="0">
              <a:schemeClr val="phClr">
                <a:shade val="51000"/>
              </a:schemeClr>
            </a:gs>
            <a:gs pos="80000">
              <a:schemeClr val="phClr">
                <a:shade val="93000"/>
              </a:schemeClr>
            </a:gs>
            <a:gs pos="100000">
              <a:schemeClr val="phClr">
                <a:shade val="94000"/>
              </a:schemeClr>
            </a:gs>
          </a:gsLst>
          <a:lin ang="16200000" scaled="0"/>
          <a:tileRect l="0" t="0" r="0" b="0"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0" t="0" r="0" b="0"/>
          </a:path>
          <a:tileRect l="0" t="0" r="0" b="0"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0" t="0" r="0" b="0"/>
          </a:path>
          <a:tileRect l="0" t="0" r="0" b="0"/>
        </a:gra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Application>LibreOffice/25.2.6.2$Windows_X86_64 LibreOffice_project/729c5bfe710f5eb71ed3bbde9e06a6065e9c6c5d</Application>
  <AppVersion>15.0000</AppVersion>
  <Pages>2</Pages>
  <Words>409</Words>
  <Characters>2984</Characters>
  <CharactersWithSpaces>3336</CharactersWithSpaces>
  <Paragraphs>49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2023-05-10T07:26:00Z</dcterms:created>
  <dc:creator/>
  <dc:description/>
  <dc:language>ru-RU</dc:language>
  <cp:lastModifiedBy/>
  <dcterms:modified xsi:type="dcterms:W3CDTF">2026-09-23T11:44:30Z</dcterms:modified>
  <cp:revision>3</cp:revision>
  <dc:subject/>
  <dc:title/>
</cp:coreProperties>
</file>