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b/>
          <w:bCs/>
          <w:sz w:val="24"/>
          <w:szCs w:val="24"/>
          <w:shd w:fill="auto" w:val="clear"/>
          <w:lang w:val="ru-RU" w:eastAsia="ru-RU" w:bidi="ar-SA"/>
        </w:rPr>
        <w:t>Протокол №</w:t>
      </w: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Times New Roman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  <w:lang w:val="ru-RU" w:eastAsia="ru-RU" w:bidi="ar-SA"/>
        </w:rPr>
        <w:t xml:space="preserve"> 0744200000226007420</w:t>
      </w:r>
    </w:p>
    <w:p>
      <w:pPr>
        <w:pStyle w:val="Normal"/>
        <w:bidi w:val="0"/>
        <w:spacing w:lineRule="atLeast" w:line="0" w:before="0" w:after="0"/>
        <w:jc w:val="center"/>
        <w:rPr>
          <w:rFonts w:ascii="Times New Roman" w:hAnsi="Times New Roman" w:cs="Times New Roman"/>
          <w:sz w:val="24"/>
          <w:szCs w:val="24"/>
          <w:shd w:fill="auto" w:val="clear"/>
        </w:rPr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подведения итогов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электронного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shd w:fill="auto" w:val="clear"/>
          <w:lang w:val="ru-RU" w:eastAsia="ru-RU" w:bidi="ar-SA"/>
        </w:rPr>
        <w:t>запроса котировок</w:t>
      </w:r>
    </w:p>
    <w:tbl>
      <w:tblPr>
        <w:tblW w:w="10260" w:type="dxa"/>
        <w:jc w:val="left"/>
        <w:tblInd w:w="36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31"/>
        <w:gridCol w:w="5129"/>
      </w:tblGrid>
      <w:tr>
        <w:trPr>
          <w:trHeight w:val="100" w:hRule="atLeast"/>
        </w:trPr>
        <w:tc>
          <w:tcPr>
            <w:tcW w:w="5131" w:type="dxa"/>
            <w:tcBorders/>
          </w:tcPr>
          <w:p>
            <w:pPr>
              <w:pStyle w:val="BodyText"/>
              <w:spacing w:before="0" w:after="120"/>
              <w:rPr>
                <w:rFonts w:ascii="Times New Roman" w:hAnsi="Times New Roman" w:cs="Times New Roman"/>
                <w:sz w:val="24"/>
                <w:szCs w:val="24"/>
                <w:shd w:fill="auto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auto" w:val="clear"/>
              </w:rPr>
              <w:t>г. Курск</w:t>
            </w:r>
          </w:p>
        </w:tc>
        <w:tc>
          <w:tcPr>
            <w:tcW w:w="5129" w:type="dxa"/>
            <w:tcBorders/>
          </w:tcPr>
          <w:p>
            <w:pPr>
              <w:pStyle w:val="ListParagraph1"/>
              <w:widowControl w:val="false"/>
              <w:tabs>
                <w:tab w:val="clear" w:pos="720"/>
                <w:tab w:val="left" w:pos="567" w:leader="none"/>
              </w:tabs>
              <w:spacing w:lineRule="auto" w:line="240" w:before="0" w:after="0"/>
              <w:ind w:left="0" w:right="0"/>
              <w:rPr>
                <w:rFonts w:eastAsia="Times New Roman" w:cs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z w:val="24"/>
                <w:szCs w:val="24"/>
                <w:shd w:fill="auto" w:val="clear"/>
                <w:lang w:val="en-US" w:eastAsia="ru-RU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z w:val="24"/>
                <w:szCs w:val="24"/>
                <w:shd w:fill="auto" w:val="clear"/>
                <w:lang w:val="en-US" w:eastAsia="ru-RU"/>
              </w:rPr>
              <w:t>23.09.2026</w:t>
            </w:r>
          </w:p>
        </w:tc>
      </w:tr>
    </w:tbl>
    <w:p>
      <w:pPr>
        <w:pStyle w:val="Normal"/>
        <w:jc w:val="left"/>
        <w:rPr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b/>
          <w:bCs/>
          <w:sz w:val="24"/>
          <w:szCs w:val="24"/>
          <w:shd w:fill="auto" w:val="clear"/>
          <w:lang w:val="ru-RU" w:eastAsia="ru-RU" w:bidi="ar-SA"/>
        </w:rPr>
        <w:t>Заказчиком является: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0"/>
          <w:kern w:val="0"/>
          <w:position w:val="0"/>
          <w:sz w:val="22"/>
          <w:sz w:val="22"/>
          <w:szCs w:val="22"/>
          <w:u w:val="none"/>
          <w:shd w:fill="auto" w:val="clear"/>
          <w:vertAlign w:val="baseline"/>
          <w:lang w:val="ru-RU" w:eastAsia="ru-RU" w:bidi="ar-SA"/>
        </w:rPr>
        <w:t>ОБЛАСТНОЕ БЮДЖЕТНОЕ УЧРЕЖДЕНИЕ ЗДРАВООХРАНЕНИЯ "ОБЛАСТНОЙ ПЕРИНАТАЛЬНЫЙ ЦЕНТР"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br/>
      </w:r>
    </w:p>
    <w:p>
      <w:pPr>
        <w:pStyle w:val="Normal"/>
        <w:jc w:val="left"/>
        <w:rPr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b/>
          <w:bCs/>
          <w:sz w:val="24"/>
          <w:szCs w:val="24"/>
          <w:shd w:fill="auto" w:val="clear"/>
          <w:lang w:val="ru-RU" w:eastAsia="ru-RU" w:bidi="ar-SA"/>
        </w:rPr>
        <w:t>Идентификационный</w:t>
      </w: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b/>
          <w:bCs/>
          <w:sz w:val="24"/>
          <w:szCs w:val="24"/>
          <w:shd w:fill="auto" w:val="clear"/>
          <w:lang w:val="ru-RU" w:eastAsia="ru-RU" w:bidi="ar-SA"/>
        </w:rPr>
        <w:t>код</w:t>
      </w: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b/>
          <w:bCs/>
          <w:sz w:val="24"/>
          <w:szCs w:val="24"/>
          <w:shd w:fill="auto" w:val="clear"/>
          <w:lang w:val="ru-RU" w:eastAsia="ru-RU" w:bidi="ar-SA"/>
        </w:rPr>
        <w:t>закупки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: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  <w:lang w:val="en-US" w:eastAsia="ru-RU" w:bidi="ar-SA"/>
        </w:rPr>
        <w:t xml:space="preserve">262462902149046320100100460120000244.  </w:t>
      </w:r>
      <w:r>
        <w:rPr>
          <w:rFonts w:eastAsia="Arial"/>
          <w:sz w:val="24"/>
          <w:szCs w:val="24"/>
          <w:shd w:fill="auto" w:val="clear"/>
          <w:lang w:val="ru-RU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b/>
          <w:bCs/>
          <w:sz w:val="24"/>
          <w:szCs w:val="24"/>
          <w:shd w:fill="auto" w:val="clear"/>
          <w:lang w:val="ru-RU" w:eastAsia="ru-RU" w:bidi="ar-SA"/>
        </w:rPr>
        <w:t>Определение поставщика осуществляет: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cs="Times New Roman"/>
          <w:sz w:val="24"/>
          <w:szCs w:val="24"/>
          <w:shd w:fill="auto" w:val="clear"/>
          <w:lang w:val="ru-RU" w:eastAsia="ru-RU" w:bidi="ar-SA"/>
        </w:rPr>
        <w:t>ОБЛАСТНОЕ КАЗЕННОЕ УЧРЕЖДЕНИЕ "ЦЕНТР ЗАКУПОК КУРСКОЙ ОБЛАСТИ"</w:t>
      </w:r>
      <w:r>
        <w:rPr>
          <w:rFonts w:cs="Arial"/>
          <w:sz w:val="24"/>
          <w:szCs w:val="24"/>
          <w:shd w:fill="auto" w:val="clear"/>
          <w:lang w:val="ru-RU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auto" w:val="clear"/>
          <w:lang w:val="en-US" w:eastAsia="ru-RU" w:bidi="ar-SA"/>
        </w:rPr>
      </w:pP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 xml:space="preserve">1. Наименование предмета электронного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shd w:fill="auto" w:val="clear"/>
          <w:lang w:val="ru-RU" w:eastAsia="ru-RU" w:bidi="ar-SA"/>
        </w:rPr>
        <w:t>запроса котировок</w:t>
      </w: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>: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  <w:lang w:val="en-US" w:eastAsia="ru-RU" w:bidi="ar-SA"/>
        </w:rPr>
        <w:t xml:space="preserve"> Поставка медицинских изделий (Инкубатор для транспортировки новорожденных),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изделий.</w:t>
      </w:r>
      <w:r>
        <w:rPr>
          <w:rFonts w:cs="Arial"/>
          <w:sz w:val="24"/>
          <w:szCs w:val="24"/>
          <w:shd w:fill="auto" w:val="clear"/>
          <w:lang w:val="ru-RU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rFonts w:eastAsia="Times New Roman"/>
          <w:b/>
          <w:bCs/>
          <w:sz w:val="24"/>
          <w:szCs w:val="24"/>
          <w:shd w:fill="auto" w:val="clear"/>
          <w:lang w:val="en-US" w:eastAsia="ru-RU" w:bidi="ar-SA"/>
        </w:rPr>
        <w:t xml:space="preserve">2. Начальная (максимальная) цена контракта: </w:t>
      </w:r>
      <w:r>
        <w:rPr>
          <w:rFonts w:eastAsia="Times New Roman"/>
          <w:b/>
          <w:bCs/>
          <w:color w:val="000000"/>
          <w:sz w:val="24"/>
          <w:szCs w:val="24"/>
          <w:shd w:fill="auto" w:val="clear"/>
          <w:lang w:val="en-US" w:eastAsia="ru-RU" w:bidi="ar-SA"/>
        </w:rPr>
        <w:t>5 192 000.00</w:t>
      </w:r>
      <w:r>
        <w:rPr>
          <w:rFonts w:eastAsia="Times New Roman"/>
          <w:b w:val="false"/>
          <w:bCs/>
          <w:i w:val="false"/>
          <w:caps w:val="false"/>
          <w:smallCaps w:val="false"/>
          <w:color w:val="000000"/>
          <w:sz w:val="24"/>
          <w:szCs w:val="24"/>
          <w:shd w:fill="auto" w:val="clear"/>
          <w:lang w:val="en-US" w:eastAsia="ru-RU" w:bidi="ar-SA"/>
        </w:rPr>
        <w:t>руб.</w:t>
      </w:r>
      <w:r>
        <w:rPr>
          <w:rFonts w:cs="Arial"/>
          <w:sz w:val="24"/>
          <w:szCs w:val="24"/>
          <w:shd w:fill="auto" w:val="clear"/>
          <w:lang w:val="en-US" w:eastAsia="ru-RU" w:bidi="ar-SA"/>
        </w:rPr>
        <w:br/>
      </w:r>
    </w:p>
    <w:p>
      <w:pPr>
        <w:pStyle w:val="Normal"/>
        <w:jc w:val="left"/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</w:pP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>3.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Дата подведения итогов определения поставщика по электронному </w:t>
      </w:r>
      <w:r>
        <w:rPr>
          <w:rFonts w:eastAsia="Times New Roman" w:cs="Times New Roman" w:ascii="Times New Roman" w:hAnsi="Times New Roman"/>
          <w:b/>
          <w:bCs/>
          <w:color w:val="000000"/>
          <w:kern w:val="2"/>
          <w:sz w:val="24"/>
          <w:szCs w:val="24"/>
          <w:shd w:fill="auto" w:val="clear"/>
          <w:lang w:val="ru-RU" w:eastAsia="ru-RU" w:bidi="ar-SA"/>
        </w:rPr>
        <w:t>запросу котировок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A"/>
          <w:position w:val="0"/>
          <w:sz w:val="24"/>
          <w:sz w:val="24"/>
          <w:szCs w:val="24"/>
          <w:u w:val="none"/>
          <w:shd w:fill="auto" w:val="clear"/>
          <w:vertAlign w:val="baseline"/>
          <w:lang w:val="en-US" w:eastAsia="ru-RU" w:bidi="ar-SA"/>
        </w:rPr>
        <w:t>23.09.2026</w:t>
      </w:r>
      <w:r>
        <w:rPr>
          <w:rFonts w:cs="Times New Roman"/>
          <w:sz w:val="24"/>
          <w:szCs w:val="24"/>
          <w:shd w:fill="auto" w:val="clear"/>
          <w:lang w:val="ru-RU" w:eastAsia="ru-RU" w:bidi="ar-SA"/>
        </w:rPr>
        <w:br/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shd w:fill="auto" w:val="clear"/>
          <w:lang w:val="ru-RU" w:eastAsia="ru-RU" w:bidi="ar-SA"/>
        </w:rPr>
        <w:t>4.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Состав комиссии по осуществлению закупок. </w:t>
        <w:br/>
        <w:t>На заседании комиссии по осуществлению закупок, при подведении итогов определения поставщика присутствовали: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840" w:type="dxa"/>
        <w:jc w:val="left"/>
        <w:tblInd w:w="33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5"/>
        <w:gridCol w:w="5535"/>
      </w:tblGrid>
      <w:tr>
        <w:trPr>
          <w:trHeight w:val="567" w:hRule="atLeast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Председатель комиссии</w:t>
            </w: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Каменева Татьяна Ивановна</w:t>
            </w:r>
          </w:p>
        </w:tc>
      </w:tr>
      <w:tr>
        <w:trPr>
          <w:trHeight w:val="567" w:hRule="atLeast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Зам. председателя комиссии</w:t>
            </w: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Тимошенко Ирина Сергеевна</w:t>
            </w:r>
          </w:p>
        </w:tc>
      </w:tr>
      <w:tr>
        <w:trPr>
          <w:trHeight w:val="567" w:hRule="atLeast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Секретарь комиссии</w:t>
            </w: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Головина Лилия Сергеевна</w:t>
            </w:r>
          </w:p>
        </w:tc>
      </w:tr>
      <w:tr>
        <w:trPr>
          <w:trHeight w:val="567" w:hRule="atLeast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Дарицын Александр Владимирович</w:t>
            </w:r>
          </w:p>
        </w:tc>
      </w:tr>
      <w:tr>
        <w:trPr>
          <w:trHeight w:val="567" w:hRule="atLeast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Цыбулькин Евгений Александрович</w:t>
            </w:r>
          </w:p>
        </w:tc>
      </w:tr>
      <w:tr>
        <w:trPr>
          <w:trHeight w:val="567" w:hRule="atLeast"/>
        </w:trPr>
        <w:tc>
          <w:tcPr>
            <w:tcW w:w="4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Член комиссии</w:t>
            </w:r>
          </w:p>
        </w:tc>
        <w:tc>
          <w:tcPr>
            <w:tcW w:w="5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Шеина Анна Дамиановна</w:t>
            </w:r>
          </w:p>
        </w:tc>
      </w:tr>
    </w:tbl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>5</w:t>
      </w:r>
      <w:r>
        <w:rPr>
          <w:rFonts w:cs="Times New Roman"/>
          <w:b/>
          <w:bCs/>
          <w:sz w:val="24"/>
          <w:szCs w:val="24"/>
          <w:shd w:fill="auto" w:val="clear"/>
          <w:lang w:val="ru-RU" w:eastAsia="ru-RU" w:bidi="ar-SA"/>
        </w:rPr>
        <w:t>.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По окончании срока подачи заявок на участие в закупке </w:t>
      </w:r>
      <w:r>
        <w:rPr>
          <w:rFonts w:eastAsia="Times New Roman" w:cs="Times New Roman"/>
          <w:sz w:val="24"/>
          <w:szCs w:val="24"/>
          <w:shd w:fill="auto" w:val="clear"/>
          <w:lang w:val="ru-RU" w:eastAsia="ru-RU" w:bidi="ar-SA"/>
        </w:rPr>
        <w:t xml:space="preserve">23.09.2026 </w:t>
      </w:r>
      <w:r>
        <w:rPr>
          <w:rFonts w:cs="Times New Roman"/>
          <w:sz w:val="24"/>
          <w:szCs w:val="24"/>
          <w:shd w:fill="auto" w:val="clear"/>
          <w:lang w:val="ru-RU" w:eastAsia="ru-RU" w:bidi="ar-SA"/>
        </w:rPr>
        <w:t>08:00</w:t>
      </w:r>
      <w:r>
        <w:rPr>
          <w:rFonts w:eastAsia="Times New Roman" w:cs="Times New Roman"/>
          <w:sz w:val="24"/>
          <w:szCs w:val="24"/>
          <w:shd w:fill="auto" w:val="clear"/>
          <w:lang w:val="ru-RU" w:eastAsia="ru-RU" w:bidi="ar-SA"/>
        </w:rPr>
        <w:t xml:space="preserve"> ч. </w:t>
      </w:r>
      <w:r>
        <w:rPr>
          <w:sz w:val="24"/>
          <w:szCs w:val="24"/>
          <w:shd w:fill="auto" w:val="clear"/>
          <w:lang w:val="ru-RU" w:eastAsia="ru-RU" w:bidi="ar-SA"/>
        </w:rPr>
        <w:t xml:space="preserve">было подано 2 </w:t>
      </w:r>
      <w:r>
        <w:rPr>
          <w:rFonts w:cs="Times New Roman"/>
          <w:sz w:val="24"/>
          <w:szCs w:val="24"/>
          <w:shd w:fill="auto" w:val="clear"/>
          <w:lang w:val="ru-RU" w:eastAsia="ru-RU" w:bidi="ar-SA"/>
        </w:rPr>
        <w:t>заявки.</w:t>
      </w:r>
    </w:p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>6</w:t>
      </w:r>
      <w:r>
        <w:rPr>
          <w:rFonts w:cs="Times New Roman"/>
          <w:b/>
          <w:bCs/>
          <w:sz w:val="24"/>
          <w:szCs w:val="24"/>
          <w:shd w:fill="auto" w:val="clear"/>
          <w:lang w:val="ru-RU" w:eastAsia="ru-RU" w:bidi="ar-SA"/>
        </w:rPr>
        <w:t>.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shd w:fill="auto" w:val="clear"/>
          <w:lang w:val="ru-RU" w:eastAsia="ru-RU" w:bidi="ar-SA"/>
        </w:rPr>
        <w:t>Комиссия по осуществлению закупок рассмотрела в соответствии со ст. 50 Федерального закона № 44-ФЗ    заявки на участие в закупке, информацию и документы на соответствие извещению об осуществлении закупки и приняла следующие решения:</w:t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313" w:type="dxa"/>
        <w:jc w:val="left"/>
        <w:tblInd w:w="1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77"/>
        <w:gridCol w:w="2473"/>
        <w:gridCol w:w="4763"/>
      </w:tblGrid>
      <w:tr>
        <w:trPr/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  <w:t>Решение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cs="Times New Roman"/>
                <w:b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ru-RU" w:eastAsia="ru-RU" w:bidi="ar-SA"/>
              </w:rPr>
              <w:t>Основание решения</w:t>
            </w:r>
          </w:p>
        </w:tc>
      </w:tr>
      <w:tr>
        <w:trPr/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1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center"/>
              <w:rPr>
                <w:b w:val="false"/>
                <w:sz w:val="24"/>
                <w:szCs w:val="24"/>
                <w:shd w:fill="auto" w:val="clear"/>
                <w:lang w:val="en-US"/>
              </w:rPr>
            </w:pP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exact" w:line="240" w:before="0" w:after="0"/>
              <w:jc w:val="center"/>
              <w:rPr>
                <w:b w:val="false"/>
                <w:sz w:val="24"/>
                <w:szCs w:val="24"/>
                <w:shd w:fill="auto" w:val="clear"/>
                <w:lang w:val="en-US"/>
              </w:rPr>
            </w:pP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-</w:t>
            </w:r>
          </w:p>
        </w:tc>
      </w:tr>
      <w:tr>
        <w:trPr/>
        <w:tc>
          <w:tcPr>
            <w:tcW w:w="3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2</w:t>
            </w:r>
          </w:p>
        </w:tc>
        <w:tc>
          <w:tcPr>
            <w:tcW w:w="2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exact" w:line="240" w:before="0" w:after="0"/>
              <w:jc w:val="center"/>
              <w:rPr>
                <w:b w:val="false"/>
                <w:sz w:val="24"/>
                <w:szCs w:val="24"/>
                <w:shd w:fill="auto" w:val="clear"/>
                <w:lang w:val="en-US"/>
              </w:rPr>
            </w:pP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Соответствует требованиям, установленным в извещении об осуществлении закупки</w:t>
            </w:r>
          </w:p>
        </w:tc>
        <w:tc>
          <w:tcPr>
            <w:tcW w:w="4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lineRule="exact" w:line="240" w:before="0" w:after="0"/>
              <w:jc w:val="center"/>
              <w:rPr>
                <w:b w:val="false"/>
                <w:sz w:val="24"/>
                <w:szCs w:val="24"/>
                <w:shd w:fill="auto" w:val="clear"/>
                <w:lang w:val="en-US"/>
              </w:rPr>
            </w:pPr>
            <w:r>
              <w:rPr>
                <w:b w:val="false"/>
                <w:sz w:val="24"/>
                <w:szCs w:val="24"/>
                <w:shd w:fill="auto" w:val="clear"/>
                <w:lang w:val="en-US"/>
              </w:rPr>
              <w:t>-</w:t>
            </w:r>
          </w:p>
        </w:tc>
      </w:tr>
    </w:tbl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  <w:shd w:fill="auto" w:val="clear"/>
          <w:lang w:val="ru-RU" w:eastAsia="ru-RU" w:bidi="ar-SA"/>
        </w:rPr>
        <w:t>Сведения о решении каждого члена комиссии по осуществлению закупок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>:</w:t>
      </w:r>
      <w:r>
        <w:rPr>
          <w:rFonts w:eastAsia="Arial"/>
          <w:sz w:val="24"/>
          <w:szCs w:val="24"/>
          <w:shd w:fill="auto" w:val="clear"/>
          <w:lang w:val="ru-RU" w:eastAsia="ru-RU" w:bidi="ar-SA"/>
        </w:rPr>
        <w:t xml:space="preserve"> </w:t>
        <w:br/>
      </w:r>
    </w:p>
    <w:p>
      <w:pPr>
        <w:pStyle w:val="Normal"/>
        <w:jc w:val="lef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102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3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ФИО членов комиссии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ru-RU" w:eastAsia="ru-RU" w:bidi="ar-SA"/>
              </w:rPr>
              <w:t>Заявка 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1</w:t>
              <w:br/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Тимошенко Ирина Сергеевна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Головина Лилия Сергеевна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Дарицын Александр Владимирович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Цыбулькин Евгений Александрович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Шеина Анна Дамиановна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widowControl w:val="false"/>
        <w:bidi w:val="0"/>
        <w:spacing w:before="0" w:after="0"/>
        <w:ind w:firstLine="567" w:right="0"/>
        <w:jc w:val="both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widowControl w:val="false"/>
        <w:bidi w:val="0"/>
        <w:spacing w:before="0" w:after="0"/>
        <w:ind w:firstLine="567" w:right="0"/>
        <w:jc w:val="both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tbl>
      <w:tblPr>
        <w:tblW w:w="10250" w:type="dxa"/>
        <w:jc w:val="left"/>
        <w:tblInd w:w="-4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420"/>
        <w:gridCol w:w="3830"/>
      </w:tblGrid>
      <w:tr>
        <w:trPr/>
        <w:tc>
          <w:tcPr>
            <w:tcW w:w="64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ФИО членов комиссии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/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Заявка №</w:t>
            </w:r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  <w:lang w:val="ru-RU" w:eastAsia="ru-RU" w:bidi="ar-SA"/>
              </w:rPr>
              <w:t>2</w:t>
            </w:r>
          </w:p>
        </w:tc>
      </w:tr>
      <w:tr>
        <w:trPr/>
        <w:tc>
          <w:tcPr>
            <w:tcW w:w="642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lang w:val="ru-RU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lang w:val="ru-RU" w:eastAsia="ru-RU" w:bidi="ar-SA"/>
              </w:rPr>
              <w:t>Решение</w:t>
            </w:r>
          </w:p>
        </w:tc>
      </w:tr>
      <w:tr>
        <w:trPr/>
        <w:tc>
          <w:tcPr>
            <w:tcW w:w="6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Тимошенко Ирина Сергеевна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Головина Лилия Сергеевна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Дарицын Александр Владимирович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Цыбулькин Евгений Александрович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642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/>
            </w:pPr>
            <w:r>
              <w:rPr/>
              <w:t>Шеина Анна Дамиановна</w:t>
            </w: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</w:pPr>
            <w:r>
              <w:rPr>
                <w:rFonts w:cs="Times New Roman"/>
                <w:b w:val="false"/>
                <w:sz w:val="24"/>
                <w:szCs w:val="24"/>
                <w:shd w:fill="auto" w:val="clear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widowControl w:val="false"/>
        <w:bidi w:val="0"/>
        <w:spacing w:before="0" w:after="0"/>
        <w:ind w:firstLine="567" w:right="0"/>
        <w:jc w:val="both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widowControl w:val="false"/>
        <w:bidi w:val="0"/>
        <w:spacing w:before="0" w:after="0"/>
        <w:ind w:right="0"/>
        <w:jc w:val="both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>7</w:t>
      </w:r>
      <w:bookmarkStart w:id="0" w:name="_Hlk88140206"/>
      <w:r>
        <w:rPr>
          <w:rFonts w:cs="Times New Roman"/>
          <w:b/>
          <w:bCs/>
          <w:sz w:val="24"/>
          <w:szCs w:val="24"/>
          <w:shd w:fill="auto" w:val="clear"/>
          <w:lang w:val="ru-RU" w:eastAsia="ru-RU" w:bidi="ar-SA"/>
        </w:rPr>
        <w:t>.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sz w:val="24"/>
          <w:szCs w:val="24"/>
          <w:shd w:fill="auto" w:val="clear"/>
          <w:lang w:val="ru-RU" w:eastAsia="ru-RU" w:bidi="ar-SA"/>
        </w:rPr>
        <w:t>На основании информации, содержащейся в прот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>околе подачи ценовых предложений, а также результатов рассмотрения</w:t>
      </w:r>
      <w:r>
        <w:rPr>
          <w:rFonts w:cs="Times New Roman"/>
          <w:sz w:val="24"/>
          <w:szCs w:val="24"/>
          <w:shd w:fill="auto" w:val="clear"/>
          <w:lang w:val="ru-RU" w:eastAsia="ru-RU" w:bidi="ar-SA"/>
        </w:rPr>
        <w:t>,</w:t>
      </w:r>
      <w:r>
        <w:rPr>
          <w:sz w:val="24"/>
          <w:szCs w:val="24"/>
          <w:shd w:fill="auto" w:val="clear"/>
          <w:lang w:val="ru-RU" w:eastAsia="ru-RU" w:bidi="ar-SA"/>
        </w:rPr>
        <w:t xml:space="preserve"> комиссией присвоены порядковые номера заявкам, соответствующим извещению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 xml:space="preserve"> </w:t>
      </w:r>
      <w:r>
        <w:rPr>
          <w:sz w:val="24"/>
          <w:szCs w:val="24"/>
          <w:shd w:fill="auto" w:val="clear"/>
          <w:lang w:val="ru-RU" w:eastAsia="ru-RU" w:bidi="ar-SA"/>
        </w:rPr>
        <w:t>об осуществлении закупки</w:t>
      </w:r>
      <w:r>
        <w:rPr>
          <w:rFonts w:eastAsia="Times New Roman"/>
          <w:sz w:val="24"/>
          <w:szCs w:val="24"/>
          <w:shd w:fill="auto" w:val="clear"/>
          <w:lang w:val="ru-RU" w:eastAsia="ru-RU" w:bidi="ar-SA"/>
        </w:rPr>
        <w:t>:</w:t>
      </w:r>
      <w:r>
        <w:rPr>
          <w:rFonts w:eastAsia="Arial"/>
          <w:sz w:val="24"/>
          <w:szCs w:val="24"/>
          <w:shd w:fill="auto" w:val="clear"/>
          <w:lang w:val="ru-RU" w:eastAsia="ru-RU" w:bidi="ar-SA"/>
        </w:rPr>
        <w:t xml:space="preserve"> </w:t>
      </w:r>
      <w:bookmarkEnd w:id="0"/>
      <w:r>
        <w:rPr>
          <w:rFonts w:eastAsia="Arial"/>
          <w:sz w:val="24"/>
          <w:szCs w:val="24"/>
          <w:shd w:fill="auto" w:val="clear"/>
          <w:lang w:val="ru-RU" w:eastAsia="ru-RU" w:bidi="ar-SA"/>
        </w:rPr>
        <w:t xml:space="preserve">       </w:t>
      </w:r>
    </w:p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tbl>
      <w:tblPr>
        <w:tblW w:w="10313" w:type="dxa"/>
        <w:jc w:val="left"/>
        <w:tblInd w:w="1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88"/>
        <w:gridCol w:w="3375"/>
        <w:gridCol w:w="2950"/>
      </w:tblGrid>
      <w:tr>
        <w:trPr/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left"/>
              <w:rPr>
                <w:rFonts w:ascii="Times New Roman" w:hAnsi="Times New Roman"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shd w:fill="auto" w:val="clear"/>
                <w:lang w:val="en-US" w:eastAsia="ru-RU" w:bidi="ar-SA"/>
              </w:rPr>
              <w:t>Порядковый номер, присвоенный комиссией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  <w:t>Идентификационный номер заявки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left"/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</w:pPr>
            <w:r>
              <w:rPr>
                <w:rFonts w:cs="Times New Roman"/>
                <w:b/>
                <w:sz w:val="24"/>
                <w:szCs w:val="24"/>
                <w:shd w:fill="auto" w:val="clear"/>
                <w:lang w:val="en-US" w:eastAsia="ru-RU" w:bidi="ar-SA"/>
              </w:rPr>
              <w:t>Предложение о цене контракта (руб)</w:t>
            </w:r>
          </w:p>
        </w:tc>
      </w:tr>
      <w:tr>
        <w:trPr/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id="1" w:name="_3whwml4"/>
            <w:bookmarkEnd w:id="1"/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1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iCs/>
                <w:szCs w:val="21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4 638 350.00</w:t>
            </w:r>
          </w:p>
        </w:tc>
      </w:tr>
      <w:tr>
        <w:trPr/>
        <w:tc>
          <w:tcPr>
            <w:tcW w:w="3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LO-normal1"/>
              <w:keepNext w:val="false"/>
              <w:keepLines w:val="false"/>
              <w:widowControl w:val="false"/>
              <w:spacing w:lineRule="auto" w:line="240" w:before="0" w:after="0"/>
              <w:ind w:right="0"/>
              <w:jc w:val="left"/>
              <w:rPr>
                <w:rFonts w:eastAsia="Times New Roman" w:cs="Times New Roman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id="2" w:name="_3whwml41"/>
            <w:bookmarkEnd w:id="2"/>
            <w:r>
              <w:rPr>
                <w:rFonts w:eastAsia="Times New Roman" w:cs="Times New Roman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A"/>
                <w:position w:val="0"/>
                <w:sz w:val="24"/>
                <w:sz w:val="24"/>
                <w:szCs w:val="24"/>
                <w:u w:val="none"/>
                <w:shd w:fill="auto" w:val="clear"/>
                <w:vertAlign w:val="baseline"/>
              </w:rPr>
              <w:t>2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iCs/>
                <w:szCs w:val="21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2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4 780 000.00</w:t>
            </w:r>
          </w:p>
        </w:tc>
      </w:tr>
    </w:tbl>
    <w:p>
      <w:pPr>
        <w:pStyle w:val="Normal"/>
        <w:jc w:val="left"/>
        <w:rPr>
          <w:sz w:val="24"/>
          <w:szCs w:val="24"/>
          <w:shd w:fill="auto" w:val="clear"/>
        </w:rPr>
      </w:pPr>
      <w:r>
        <w:rPr>
          <w:sz w:val="24"/>
          <w:szCs w:val="24"/>
          <w:shd w:fill="auto" w:val="clear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/>
          <w:bCs/>
          <w:sz w:val="24"/>
          <w:szCs w:val="24"/>
          <w:shd w:fill="auto" w:val="clear"/>
          <w:lang w:val="ru-RU" w:eastAsia="ru-RU" w:bidi="ar-SA"/>
        </w:rPr>
        <w:t>8</w:t>
      </w:r>
      <w:r>
        <w:rPr>
          <w:rFonts w:cs="Times New Roman"/>
          <w:b/>
          <w:bCs/>
          <w:sz w:val="24"/>
          <w:szCs w:val="24"/>
          <w:shd w:fill="auto" w:val="clear"/>
          <w:lang w:val="ru-RU" w:eastAsia="ru-RU" w:bidi="ar-SA"/>
        </w:rPr>
        <w:t>.</w:t>
      </w:r>
      <w:r>
        <w:rPr>
          <w:rFonts w:eastAsia="Times New Roman" w:cs="Times New Roman"/>
          <w:b w:val="false"/>
          <w:bCs w:val="false"/>
          <w:sz w:val="24"/>
          <w:szCs w:val="24"/>
          <w:shd w:fill="auto" w:val="clear"/>
          <w:lang w:val="ru-RU" w:eastAsia="ru-RU" w:bidi="ar-SA"/>
        </w:rPr>
        <w:t xml:space="preserve">Настоящий протокол подведения итогов сформирован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</w:t>
      </w:r>
      <w:r>
        <w:rPr>
          <w:rFonts w:eastAsia="Times New Roman"/>
          <w:b w:val="false"/>
          <w:bCs w:val="false"/>
          <w:sz w:val="24"/>
          <w:szCs w:val="24"/>
          <w:shd w:fill="auto" w:val="clear"/>
          <w:lang w:val="ru-RU" w:eastAsia="ru-RU" w:bidi="ar-SA"/>
        </w:rPr>
        <w:t xml:space="preserve"> 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00:8B:C1:32:F0:98:AC:ED:F8:7F:52:5A:26:2C:48:10:24, действителен с 28.04.2026 08:27:17 по 22.07.2027 08:27:17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10:24:53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Шеина Анна Дамиановна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00:D2:45:1D:E2:4E:F6:8A:B1:05:13:96:57:D2:B4:3A:F7, действителен с 28.04.2026 08:33:02 по 22.07.2027 08:33:02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15:52:28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Тимошенко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00:81:ED:E1:8D:42:86:C6:89:BB:A5:A5:03:06:DD:0A:A0, действителен с 14.05.2026 06:21:42 по 07.08.2027 06:21:42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15:55:34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Цыбулькин Евгений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40:CD:41:6A:ED:79:B7:20:8B:94:32:63:D0:C8:90:5E, действителен с 14.07.2025 05:10:39 по 07.10.2026 05:10:39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15:59:20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"ОБЛАСТНОЙ ПЕРИНАТАЛЬНЫЙ ЦЕНТР"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Дарицын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00:D4:92:BC:F4:BA:EC:36:7C:75:92:D2:1C:E1:B0:F5:22, действителен с 19.12.2025 08:08:17 по 14.03.2027 08:08:17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16:11:06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16:30:02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Головина Лилия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00:8B:C1:32:F0:98:AC:ED:F8:7F:52:5A:26:2C:48:10:24, действителен с 28.04.2026 08:27:17 по 22.07.2027 08:27:17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16:39:03 МСК</w:t>
      </w:r>
    </w:p>
    <w:sectPr>
      <w:type w:val="nextPage"/>
      <w:pgSz w:w="11906" w:h="16838"/>
      <w:pgMar w:left="1077" w:right="567" w:gutter="0" w:header="0" w:top="1077" w:footer="0" w:bottom="964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Open Sans">
    <w:charset w:val="01"/>
    <w:family w:val="swiss"/>
    <w:pitch w:val="variable"/>
  </w:font>
  <w:font w:name="Arial">
    <w:charset w:val="cc"/>
    <w:family w:val="swiss"/>
    <w:pitch w:val="variable"/>
  </w:font>
  <w:font w:name="Calibri">
    <w:charset w:val="80"/>
    <w:family w:val="roman"/>
    <w:pitch w:val="default"/>
  </w:font>
  <w:font w:name="Times New Roman">
    <w:charset w:val="01"/>
    <w:family w:val="roman"/>
    <w:pitch w:val="variable"/>
  </w:font>
  <w:font w:name="Times New Roman">
    <w:charset w:val="80"/>
    <w:family w:val="roman"/>
    <w:pitch w:val="variable"/>
  </w:font>
  <w:font w:name="Times New Roman">
    <w:charset w:val="80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SimSun" w:cs="Arial"/>
      <w:color w:val="auto"/>
      <w:kern w:val="2"/>
      <w:sz w:val="24"/>
      <w:szCs w:val="24"/>
      <w:lang w:val="ru-RU" w:eastAsia="zh-CN" w:bidi="hi-IN"/>
    </w:rPr>
  </w:style>
  <w:style w:type="paragraph" w:styleId="Heading1">
    <w:name w:val="Heading 1"/>
    <w:basedOn w:val="Style14"/>
    <w:next w:val="BodyText"/>
    <w:qFormat/>
    <w:pPr>
      <w:numPr>
        <w:ilvl w:val="0"/>
        <w:numId w:val="1"/>
      </w:numPr>
      <w:outlineLvl w:val="0"/>
    </w:pPr>
    <w:rPr>
      <w:b/>
      <w:bCs/>
      <w:sz w:val="32"/>
      <w:szCs w:val="32"/>
    </w:rPr>
  </w:style>
  <w:style w:type="paragraph" w:styleId="Heading2">
    <w:name w:val="Heading 2"/>
    <w:basedOn w:val="Style14"/>
    <w:next w:val="BodyText"/>
    <w:qFormat/>
    <w:pPr>
      <w:numPr>
        <w:ilvl w:val="1"/>
        <w:numId w:val="1"/>
      </w:numPr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Style14"/>
    <w:next w:val="BodyText"/>
    <w:qFormat/>
    <w:pPr>
      <w:numPr>
        <w:ilvl w:val="2"/>
        <w:numId w:val="1"/>
      </w:numPr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rFonts w:cs="Times New Roman"/>
      <w:sz w:val="16"/>
      <w:szCs w:val="16"/>
    </w:rPr>
  </w:style>
  <w:style w:type="character" w:styleId="Style11">
    <w:name w:val="Текст примечания Знак"/>
    <w:basedOn w:val="DefaultParagraphFont"/>
    <w:qFormat/>
    <w:rPr>
      <w:rFonts w:cs="Times New Roman"/>
      <w:sz w:val="20"/>
      <w:szCs w:val="20"/>
    </w:rPr>
  </w:style>
  <w:style w:type="character" w:styleId="Style12">
    <w:name w:val="Тема примечания Знак"/>
    <w:basedOn w:val="Style11"/>
    <w:qFormat/>
    <w:rPr>
      <w:rFonts w:cs="Times New Roman"/>
      <w:b/>
      <w:bCs/>
      <w:sz w:val="20"/>
      <w:szCs w:val="20"/>
    </w:rPr>
  </w:style>
  <w:style w:type="character" w:styleId="Hyperlink">
    <w:name w:val="Hyperlink"/>
    <w:basedOn w:val="DefaultParagraphFont"/>
    <w:rPr>
      <w:rFonts w:cs="Times New Roman"/>
      <w:color w:val="000080"/>
      <w:u w:val="single"/>
      <w:lang w:val="zxx" w:eastAsia="zxx" w:bidi="zxx"/>
    </w:rPr>
  </w:style>
  <w:style w:type="character" w:styleId="Style13">
    <w:name w:val="Цветовое выделение для Текст"/>
    <w:qFormat/>
    <w:rPr>
      <w:rFonts w:ascii="Times New Roman CYR" w:hAnsi="Times New Roman CYR" w:eastAsia="Times New Roman CYR" w:cs="Times New Roman CYR"/>
      <w:sz w:val="24"/>
    </w:rPr>
  </w:style>
  <w:style w:type="character" w:styleId="Emphasis">
    <w:name w:val="Emphasis"/>
    <w:qFormat/>
    <w:rPr>
      <w:i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Arial"/>
    </w:rPr>
  </w:style>
  <w:style w:type="paragraph" w:styleId="Revision">
    <w:name w:val="Revision"/>
    <w:qFormat/>
    <w:pPr>
      <w:widowControl/>
      <w:suppressAutoHyphens w:val="true"/>
      <w:bidi w:val="0"/>
      <w:ind w:hanging="0" w:left="0" w:right="0"/>
      <w:jc w:val="left"/>
      <w:textAlignment w:val="auto"/>
    </w:pPr>
    <w:rPr>
      <w:rFonts w:ascii="Calibri" w:hAnsi="Calibri" w:eastAsia="Cambria Math" w:cs="Calibri"/>
      <w:color w:val="auto"/>
      <w:kern w:val="2"/>
      <w:sz w:val="22"/>
      <w:szCs w:val="22"/>
      <w:lang w:val="ru-RU" w:eastAsia="ru-RU" w:bidi="ar-SA"/>
    </w:rPr>
  </w:style>
  <w:style w:type="paragraph" w:styleId="Annotationtext">
    <w:name w:val="annotation text"/>
    <w:qFormat/>
    <w:pPr>
      <w:widowControl/>
      <w:suppressAutoHyphens w:val="true"/>
      <w:bidi w:val="0"/>
      <w:spacing w:before="0" w:after="160"/>
      <w:ind w:hanging="0" w:left="0" w:right="0"/>
      <w:jc w:val="left"/>
      <w:textAlignment w:val="auto"/>
    </w:pPr>
    <w:rPr>
      <w:rFonts w:ascii="Calibri" w:hAnsi="Calibri" w:eastAsia="SimSun" w:cs="Arial"/>
      <w:color w:val="auto"/>
      <w:kern w:val="2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qFormat/>
    <w:pPr>
      <w:widowControl/>
      <w:spacing w:before="0" w:after="160"/>
      <w:ind w:hanging="0" w:left="0" w:right="0"/>
      <w:jc w:val="left"/>
      <w:textAlignment w:val="auto"/>
    </w:pPr>
    <w:rPr>
      <w:rFonts w:ascii="Calibri" w:hAnsi="Calibri" w:cs="Calibri"/>
      <w:b/>
      <w:bCs/>
      <w:sz w:val="20"/>
      <w:szCs w:val="20"/>
      <w:lang w:val="ru-RU" w:eastAsia="ru-RU" w:bidi="ar-SA"/>
    </w:rPr>
  </w:style>
  <w:style w:type="paragraph" w:styleId="Style17">
    <w:name w:val="Содержимое таблицы"/>
    <w:basedOn w:val="Normal"/>
    <w:qFormat/>
    <w:pPr>
      <w:suppressLineNumbers/>
    </w:pPr>
    <w:rPr/>
  </w:style>
  <w:style w:type="paragraph" w:styleId="Style18">
    <w:name w:val="Заголовок таблицы"/>
    <w:basedOn w:val="Style17"/>
    <w:qFormat/>
    <w:pPr>
      <w:suppressLineNumbers/>
      <w:jc w:val="center"/>
    </w:pPr>
    <w:rPr>
      <w:b/>
      <w:bCs/>
    </w:rPr>
  </w:style>
  <w:style w:type="paragraph" w:styleId="LO-normal">
    <w:name w:val="LO-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oto Serif CJK SC" w:cs="Lohit Devanagari"/>
      <w:color w:val="00000A"/>
      <w:kern w:val="0"/>
      <w:sz w:val="24"/>
      <w:szCs w:val="24"/>
      <w:lang w:val="ru-RU" w:eastAsia="zh-CN" w:bidi="hi-IN"/>
    </w:rPr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149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2021-11-25T11:09:00Z</dcterms:created>
  <dc:creator>paggard</dc:creator>
  <dc:description/>
  <dc:language>en-US</dc:language>
  <cp:lastModifiedBy/>
  <cp:lastPrinted>1995-11-21T17:41:00Z</cp:lastPrinted>
  <dcterms:modified xsi:type="dcterms:W3CDTF">2026-09-23T10:23:39Z</dcterms:modified>
  <cp:revision>30</cp:revision>
  <dc:subject/>
  <dc:title>Paggard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Алина Тарасенко</vt:lpwstr>
  </property>
</Properties>
</file>