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4"/>
          <w:lang w:eastAsia="ru-RU"/>
        </w:rPr>
        <w:t xml:space="preserve"> </w:t>
      </w:r>
      <w:r>
        <w:rPr>
          <w:rFonts w:eastAsia="Times New Roman"/>
          <w:sz w:val="24"/>
          <w:szCs w:val="24"/>
          <w:lang w:eastAsia="ru-RU"/>
        </w:rPr>
        <w:t xml:space="preserve">(0842200000526001377)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/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0842200000526001377-1-1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Самарская обл, Самара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САМАРСКОЙ ОБЛАСТИ "САМАРАФАРМАЦИЯ".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САМАРСКОЙ ОБЛАСТИ "САМАРАФАРМАЦИЯ"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262631819736763180100100941770000323.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21.04.2026 14:50 (MSK+01:00)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лекарственного препарата «Метипред» по решению врачебной комиссии в рамках льготного лекарственного обеспечения на 2026 год. (п26-01-1293)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44 763.60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</w:t>
      </w:r>
      <w:r>
        <w:t xml:space="preserve">комиссии по осуществлению закупок</w:t>
      </w:r>
      <w:r>
        <w:t xml:space="preserve">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12:29:51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2025-02-01T17:19:20Z</dcterms:modified>
</cp:coreProperties>
</file>