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(0829500001126003896)</w:t>
      </w:r>
    </w:p>
    <w:p w14:paraId="04000000">
      <w:pPr>
        <w:spacing w:after="0" w:line="240" w:lineRule="auto"/>
        <w:ind w:firstLine="0" w:left="3828" w:right="5243"/>
        <w:jc w:val="both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496"/>
        <w:gridCol w:w="3216"/>
        <w:gridCol w:w="3356"/>
      </w:tblGrid>
      <w:tr>
        <w:tc>
          <w:tcPr>
            <w:tcW w:type="dxa" w:w="3496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22.06.2026</w:t>
            </w:r>
          </w:p>
        </w:tc>
        <w:tc>
          <w:tcPr>
            <w:tcW w:type="dxa" w:w="3216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356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0829500001126003896-1-1</w:t>
            </w:r>
          </w:p>
        </w:tc>
      </w:tr>
      <w:tr>
        <w:tc>
          <w:tcPr>
            <w:tcW w:type="dxa" w:w="10068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9955"/>
      </w:tblGrid>
      <w:tr>
        <w:tc>
          <w:tcPr>
            <w:tcW w:type="dxa" w:w="9955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 УЧРЕЖДЕНИЕ ЗДРАВООХРАНЕНИЯ "КЛИНИЧЕСКАЯ БОЛЬНИЦА СКОРОЙ МЕДИЦИНСКОЙ ПОМОЩИ № 7"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Идентификационный код закупки: 262344680185334460100100620040000244.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Извещение об осуществлении закупки размещено 08.06.2026 14:05 (MSK+00:00) на сайте Единой информационной системы в сфере закупок (ЕИС) по адресу в сети </w:t>
      </w:r>
      <w:bookmarkStart w:id="1" w:name="_GoBack"/>
      <w:bookmarkEnd w:id="1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Поставка расходных материалов для лаборатории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88 828.62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556"/>
        <w:gridCol w:w="3769"/>
        <w:gridCol w:w="2743"/>
      </w:tblGrid>
      <w:tr>
        <w:tc>
          <w:tcPr>
            <w:tcW w:type="dxa" w:w="3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</w:pPr>
            <w:r>
              <w:t>Председатель комиссии</w:t>
            </w:r>
          </w:p>
        </w:tc>
        <w:tc>
          <w:tcPr>
            <w:tcW w:type="dxa" w:w="37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</w:pPr>
            <w:r>
              <w:t>Матвеев Роман Викторович</w:t>
            </w:r>
          </w:p>
        </w:tc>
        <w:tc>
          <w:tcPr>
            <w:tcW w:type="dxa" w:w="27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</w:pPr>
            <w:r>
              <w:t>Член комиссии</w:t>
            </w:r>
          </w:p>
        </w:tc>
        <w:tc>
          <w:tcPr>
            <w:tcW w:type="dxa" w:w="37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</w:pPr>
            <w:r>
              <w:t>Николенко Екатерина Николаевна</w:t>
            </w:r>
          </w:p>
        </w:tc>
        <w:tc>
          <w:tcPr>
            <w:tcW w:type="dxa" w:w="27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C000000">
      <w:pPr>
        <w:widowControl w:val="0"/>
        <w:spacing w:after="0" w:before="60" w:line="240" w:lineRule="auto"/>
        <w:ind/>
        <w:jc w:val="both"/>
      </w:pPr>
      <w:r>
        <w:t xml:space="preserve">Количество членов комиссии, присутствующих на заседании: 2. </w:t>
      </w:r>
      <w:r>
        <w:t>Кворум имеется. Комиссия правомочна.</w:t>
      </w:r>
    </w:p>
    <w:p w14:paraId="1D000000">
      <w:pPr>
        <w:pStyle w:val="Style_3"/>
        <w:numPr>
          <w:ilvl w:val="0"/>
          <w:numId w:val="1"/>
        </w:numPr>
        <w:spacing w:after="0" w:before="60" w:line="240" w:lineRule="auto"/>
        <w:ind/>
        <w:jc w:val="both"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72"/>
        <w:gridCol w:w="1339"/>
        <w:gridCol w:w="1367"/>
        <w:gridCol w:w="2363"/>
        <w:gridCol w:w="1492"/>
        <w:gridCol w:w="1118"/>
        <w:gridCol w:w="1118"/>
      </w:tblGrid>
      <w:tr>
        <w:trPr>
          <w:trHeight w:hRule="atLeast" w:val="843"/>
        </w:trPr>
        <w:tc>
          <w:tcPr>
            <w:tcW w:type="dxa" w:w="1272"/>
            <w:vAlign w:val="center"/>
          </w:tcPr>
          <w:p w14:paraId="1E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39"/>
            <w:vAlign w:val="center"/>
          </w:tcPr>
          <w:p w14:paraId="1F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0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67"/>
            <w:vAlign w:val="center"/>
          </w:tcPr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63"/>
            <w:vAlign w:val="center"/>
          </w:tcPr>
          <w:p w14:paraId="22000000">
            <w:pPr>
              <w:ind/>
              <w:jc w:val="center"/>
              <w:rPr>
                <w:b w:val="1"/>
                <w:sz w:val="22"/>
              </w:rPr>
            </w:pPr>
          </w:p>
          <w:p w14:paraId="23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492"/>
            <w:vAlign w:val="center"/>
          </w:tcPr>
          <w:p w14:paraId="24000000">
            <w:pPr>
              <w:ind/>
              <w:jc w:val="center"/>
              <w:rPr>
                <w:b w:val="1"/>
                <w:sz w:val="22"/>
              </w:rPr>
            </w:pPr>
          </w:p>
          <w:p w14:paraId="25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18"/>
            <w:vAlign w:val="center"/>
          </w:tcPr>
          <w:p w14:paraId="26000000">
            <w:pPr>
              <w:ind/>
              <w:jc w:val="center"/>
              <w:rPr>
                <w:b w:val="1"/>
                <w:sz w:val="22"/>
              </w:rPr>
            </w:pPr>
          </w:p>
          <w:p w14:paraId="2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18"/>
            <w:vAlign w:val="center"/>
          </w:tcPr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72"/>
            <w:vAlign w:val="center"/>
          </w:tcPr>
          <w:p w14:paraId="2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39"/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14.06.2026 22:22:49 (MSK+00:00)</w:t>
            </w:r>
          </w:p>
        </w:tc>
        <w:tc>
          <w:tcPr>
            <w:tcW w:type="dxa" w:w="1367"/>
            <w:vAlign w:val="center"/>
          </w:tcPr>
          <w:p w14:paraId="2C000000">
            <w:pPr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63"/>
            <w:vAlign w:val="center"/>
          </w:tcPr>
          <w:p w14:paraId="2D000000">
            <w:pPr>
              <w:spacing w:before="60"/>
              <w:ind/>
            </w:pPr>
            <w:r>
              <w:t xml:space="preserve">На основании п.1 ч.12 ст.48 Федерального закона от 05 апреля 2013 года №44-ФЗ, так как участником закупки не представлены документы, предусмотренные </w:t>
            </w:r>
            <w:r>
              <w:t>пп.в</w:t>
            </w:r>
            <w:r>
              <w:t xml:space="preserve"> п.2 ч.1 ст.43 Федерального закона от 05 апреля 2013 года №44-ФЗ и пп.3 в п.1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а именно отсутствует:</w:t>
            </w:r>
            <w:r>
              <w:br/>
            </w:r>
            <w:r>
              <w:t>- информация или документ, подтверждающий факт государственной регистрации (запись в государственном реестре медицинских изделий),</w:t>
            </w:r>
            <w:r>
              <w:t xml:space="preserve"> </w:t>
            </w:r>
            <w:r>
              <w:t>содержащий номер реестровой записи</w:t>
            </w:r>
            <w:r>
              <w:t>, на</w:t>
            </w:r>
            <w:r>
              <w:t xml:space="preserve"> предлагаем</w:t>
            </w:r>
            <w:r>
              <w:t>ое</w:t>
            </w:r>
            <w:r>
              <w:t xml:space="preserve"> к поставке медицинско</w:t>
            </w:r>
            <w:r>
              <w:t>е</w:t>
            </w:r>
            <w:r>
              <w:t xml:space="preserve"> издели</w:t>
            </w:r>
            <w:r>
              <w:t>е</w:t>
            </w:r>
            <w:r>
              <w:t xml:space="preserve"> по позиции </w:t>
            </w:r>
            <w:r>
              <w:t>1</w:t>
            </w:r>
            <w:r>
              <w:t>.</w:t>
            </w:r>
            <w:r>
              <w:t>«Набор для окраски препаратов на предметных стеклах»</w:t>
            </w:r>
            <w:r>
              <w:t>.</w:t>
            </w:r>
            <w:r>
              <w:br/>
            </w:r>
          </w:p>
          <w:p w14:paraId="2E000000">
            <w:r>
              <w:t>На основании п.8 ч.12 ст.48 Федерального закона от 05 апреля 2013 года №44-ФЗ и п.2.1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так как заявка содержит недостоверную информацию</w:t>
            </w:r>
            <w:r>
              <w:t>, а именно</w:t>
            </w:r>
            <w:r>
              <w:t xml:space="preserve">: </w:t>
            </w:r>
          </w:p>
          <w:p w14:paraId="2F000000">
            <w:r>
              <w:t>- по позици</w:t>
            </w:r>
            <w:r>
              <w:t>и</w:t>
            </w:r>
            <w:r>
              <w:t xml:space="preserve"> 3 «</w:t>
            </w:r>
            <w:r>
              <w:t>Набор реагентов для клинического анализа кала</w:t>
            </w:r>
            <w:r>
              <w:t xml:space="preserve">» </w:t>
            </w:r>
            <w:r>
              <w:t>участником закупки был предложен товар:</w:t>
            </w:r>
            <w:r>
              <w:t xml:space="preserve"> </w:t>
            </w:r>
            <w:r>
              <w:t>«Наименование медицинского изделия в соответствии с РУ:</w:t>
            </w:r>
            <w:r>
              <w:t xml:space="preserve"> </w:t>
            </w:r>
            <w:r>
              <w:t>Набор реагентов для клинического анализа кала («</w:t>
            </w:r>
            <w:r>
              <w:t>Диахим</w:t>
            </w:r>
            <w:r>
              <w:t>-Набор реагентов для клинического анализа кала») по ТУ 9398-033-27428909-2009</w:t>
            </w:r>
            <w:r>
              <w:t xml:space="preserve">» </w:t>
            </w:r>
            <w:r>
              <w:t>с значением характеристики в заявке участника:</w:t>
            </w:r>
            <w:r>
              <w:t xml:space="preserve"> «</w:t>
            </w:r>
            <w:r>
              <w:t>Состав</w:t>
            </w:r>
            <w:r>
              <w:t xml:space="preserve">: </w:t>
            </w:r>
            <w:r>
              <w:t>Бензидин</w:t>
            </w:r>
            <w:r>
              <w:t xml:space="preserve">, Уксусная кислота 50% , </w:t>
            </w:r>
            <w:r>
              <w:t>Гидроперит</w:t>
            </w:r>
            <w:r>
              <w:t xml:space="preserve"> в таблетках, Цинк уксуснокислый 2%, Раствор Люголя, Реактив Фуше, Уксусная кислота 30%, </w:t>
            </w:r>
            <w:r>
              <w:rPr>
                <w:b w:val="1"/>
              </w:rPr>
              <w:t xml:space="preserve">Раствор </w:t>
            </w:r>
            <w:r>
              <w:rPr>
                <w:b w:val="1"/>
              </w:rPr>
              <w:t>судана</w:t>
            </w:r>
            <w:r>
              <w:rPr>
                <w:b w:val="1"/>
              </w:rPr>
              <w:t xml:space="preserve"> III 0,2%</w:t>
            </w:r>
            <w:r>
              <w:t>, Метиленовый синий 2% , Глицерин.</w:t>
            </w:r>
            <w:r>
              <w:t>»</w:t>
            </w:r>
          </w:p>
          <w:p w14:paraId="30000000">
            <w:pPr>
              <w:spacing w:before="60"/>
              <w:ind/>
              <w:rPr>
                <w:sz w:val="22"/>
              </w:rPr>
            </w:pPr>
            <w:r>
              <w:t>Согласно инструкции по применению, размещенной на сайте Федеральной службы по надзору в сфере здравоохранения, к регистрационному удостоверени</w:t>
            </w:r>
            <w:r>
              <w:t xml:space="preserve">ю </w:t>
            </w:r>
            <w:r>
              <w:t>ФСР 2010/07198</w:t>
            </w:r>
            <w:r>
              <w:t xml:space="preserve"> в состав набора входит </w:t>
            </w:r>
            <w:r>
              <w:rPr>
                <w:b w:val="1"/>
              </w:rPr>
              <w:t xml:space="preserve">Судан </w:t>
            </w:r>
            <w:r>
              <w:rPr>
                <w:b w:val="1"/>
              </w:rPr>
              <w:t>III</w:t>
            </w:r>
            <w:r>
              <w:rPr>
                <w:b w:val="1"/>
              </w:rPr>
              <w:t>, 2 % раствор</w:t>
            </w:r>
            <w:r>
              <w:rPr>
                <w:b w:val="1"/>
              </w:rPr>
              <w:t>.</w:t>
            </w:r>
          </w:p>
        </w:tc>
        <w:tc>
          <w:tcPr>
            <w:tcW w:type="dxa" w:w="149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88 828.62</w:t>
            </w:r>
          </w:p>
        </w:tc>
        <w:tc>
          <w:tcPr>
            <w:tcW w:type="dxa" w:w="1118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- 0.00 %</w:t>
            </w:r>
          </w:p>
        </w:tc>
        <w:tc>
          <w:tcPr>
            <w:tcW w:type="dxa" w:w="1118"/>
            <w:vAlign w:val="center"/>
          </w:tcPr>
          <w:p w14:paraId="33000000">
            <w:pPr>
              <w:ind/>
              <w:jc w:val="center"/>
              <w:rPr>
                <w:sz w:val="22"/>
              </w:rPr>
            </w:pPr>
          </w:p>
        </w:tc>
      </w:tr>
    </w:tbl>
    <w:p w14:paraId="34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  <w:jc w:val="both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5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6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7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A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Николенко Екатерина Николаевна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  <w:r>
              <w:t>Отклонить</w:t>
            </w:r>
          </w:p>
        </w:tc>
      </w:tr>
    </w:tbl>
    <w:p w14:paraId="3D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В связи с тем, что по результатам рассмотрени</w:t>
      </w:r>
      <w:r>
        <w:t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E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 w14:paraId="3F000000">
      <w:pPr>
        <w:keepNext w:val="1"/>
        <w:widowControl w:val="0"/>
        <w:spacing w:after="0" w:before="60" w:line="240" w:lineRule="auto"/>
        <w:ind/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"КЛИНИЧЕСКАЯ БОЛЬНИЦА СКОРОЙ МЕДИЦИНСКОЙ ПОМОЩИ № 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16:5C:4A:AE:05:2F:EC:77:4B:41:DD:3C:71:ED:AD:C4, действителен с 04.12.2025 13:43:19 по 27.02.2027 13:43:19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16:48:47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17:14:05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Header"/>
    <w:basedOn w:val="Style_5"/>
    <w:link w:val="Style_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6_ch" w:type="character">
    <w:name w:val="Header"/>
    <w:basedOn w:val="Style_5_ch"/>
    <w:link w:val="Style_6"/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firstLine="0" w:left="283"/>
    </w:pPr>
  </w:style>
  <w:style w:styleId="Style_7_ch" w:type="character">
    <w:name w:val="toc 2"/>
    <w:basedOn w:val="Style_5_ch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firstLine="0"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12" w:type="paragraph">
    <w:name w:val="table of figures"/>
    <w:basedOn w:val="Style_5"/>
    <w:next w:val="Style_5"/>
    <w:link w:val="Style_12_ch"/>
    <w:pPr>
      <w:spacing w:after="0"/>
      <w:ind/>
    </w:pPr>
  </w:style>
  <w:style w:styleId="Style_12_ch" w:type="character">
    <w:name w:val="table of figures"/>
    <w:basedOn w:val="Style_5_ch"/>
    <w:link w:val="Style_12"/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3_ch" w:type="character">
    <w:name w:val="heading 3"/>
    <w:basedOn w:val="Style_5_ch"/>
    <w:link w:val="Style_13"/>
    <w:rPr>
      <w:rFonts w:ascii="Arial" w:hAnsi="Arial"/>
      <w:sz w:val="30"/>
    </w:rPr>
  </w:style>
  <w:style w:styleId="Style_14" w:type="paragraph">
    <w:name w:val="endnote text"/>
    <w:basedOn w:val="Style_5"/>
    <w:link w:val="Style_14_ch"/>
    <w:pPr>
      <w:spacing w:after="0" w:line="240" w:lineRule="auto"/>
      <w:ind/>
    </w:pPr>
    <w:rPr>
      <w:sz w:val="20"/>
    </w:rPr>
  </w:style>
  <w:style w:styleId="Style_14_ch" w:type="character">
    <w:name w:val="endnote text"/>
    <w:basedOn w:val="Style_5_ch"/>
    <w:link w:val="Style_14"/>
    <w:rPr>
      <w:sz w:val="20"/>
    </w:rPr>
  </w:style>
  <w:style w:styleId="Style_15" w:type="paragraph">
    <w:name w:val="heading 9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5_ch" w:type="character">
    <w:name w:val="heading 9"/>
    <w:basedOn w:val="Style_5_ch"/>
    <w:link w:val="Style_15"/>
    <w:rPr>
      <w:rFonts w:ascii="Arial" w:hAnsi="Arial"/>
      <w:i w:val="1"/>
      <w:sz w:val="21"/>
    </w:rPr>
  </w:style>
  <w:style w:styleId="Style_16" w:type="paragraph">
    <w:name w:val="TOC Heading"/>
    <w:link w:val="Style_16_ch"/>
  </w:style>
  <w:style w:styleId="Style_16_ch" w:type="character">
    <w:name w:val="TOC Heading"/>
    <w:link w:val="Style_16"/>
  </w:style>
  <w:style w:styleId="Style_17" w:type="paragraph">
    <w:name w:val="toc 3"/>
    <w:basedOn w:val="Style_5"/>
    <w:next w:val="Style_5"/>
    <w:link w:val="Style_17_ch"/>
    <w:uiPriority w:val="39"/>
    <w:pPr>
      <w:spacing w:after="57"/>
      <w:ind w:firstLine="0" w:left="567"/>
    </w:pPr>
  </w:style>
  <w:style w:styleId="Style_17_ch" w:type="character">
    <w:name w:val="toc 3"/>
    <w:basedOn w:val="Style_5_ch"/>
    <w:link w:val="Style_17"/>
  </w:style>
  <w:style w:styleId="Style_18" w:type="paragraph">
    <w:name w:val="heading 5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18_ch" w:type="character">
    <w:name w:val="heading 5"/>
    <w:basedOn w:val="Style_5_ch"/>
    <w:link w:val="Style_18"/>
    <w:rPr>
      <w:rFonts w:ascii="Arial" w:hAnsi="Arial"/>
      <w:b w:val="1"/>
      <w:sz w:val="24"/>
    </w:rPr>
  </w:style>
  <w:style w:styleId="Style_19" w:type="paragraph">
    <w:name w:val="heading 1"/>
    <w:basedOn w:val="Style_5"/>
    <w:next w:val="Style_5"/>
    <w:link w:val="Style_19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19_ch" w:type="character">
    <w:name w:val="heading 1"/>
    <w:basedOn w:val="Style_5_ch"/>
    <w:link w:val="Style_19"/>
    <w:rPr>
      <w:rFonts w:ascii="Arial" w:hAnsi="Arial"/>
      <w:sz w:val="40"/>
    </w:rPr>
  </w:style>
  <w:style w:styleId="Style_20" w:type="paragraph">
    <w:name w:val="Hyperlink"/>
    <w:basedOn w:val="Style_21"/>
    <w:link w:val="Style_20_ch"/>
    <w:rPr>
      <w:color w:val="0000FF"/>
      <w:u w:val="single"/>
    </w:rPr>
  </w:style>
  <w:style w:styleId="Style_20_ch" w:type="character">
    <w:name w:val="Hyperlink"/>
    <w:basedOn w:val="Style_21_ch"/>
    <w:link w:val="Style_20"/>
    <w:rPr>
      <w:color w:val="0000FF"/>
      <w:u w:val="single"/>
    </w:rPr>
  </w:style>
  <w:style w:styleId="Style_22" w:type="paragraph">
    <w:name w:val="Footnote"/>
    <w:basedOn w:val="Style_5"/>
    <w:link w:val="Style_22_ch"/>
    <w:pPr>
      <w:spacing w:after="40" w:line="240" w:lineRule="auto"/>
      <w:ind/>
    </w:pPr>
    <w:rPr>
      <w:sz w:val="18"/>
    </w:rPr>
  </w:style>
  <w:style w:styleId="Style_22_ch" w:type="character">
    <w:name w:val="Footnote"/>
    <w:basedOn w:val="Style_5_ch"/>
    <w:link w:val="Style_22"/>
    <w:rPr>
      <w:sz w:val="18"/>
    </w:rPr>
  </w:style>
  <w:style w:styleId="Style_23" w:type="paragraph">
    <w:name w:val="heading 8"/>
    <w:basedOn w:val="Style_5"/>
    <w:next w:val="Style_5"/>
    <w:link w:val="Style_23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3_ch" w:type="character">
    <w:name w:val="heading 8"/>
    <w:basedOn w:val="Style_5_ch"/>
    <w:link w:val="Style_23"/>
    <w:rPr>
      <w:rFonts w:ascii="Arial" w:hAnsi="Arial"/>
      <w:i w:val="1"/>
    </w:rPr>
  </w:style>
  <w:style w:styleId="Style_24" w:type="paragraph">
    <w:name w:val="toc 1"/>
    <w:basedOn w:val="Style_5"/>
    <w:next w:val="Style_5"/>
    <w:link w:val="Style_24_ch"/>
    <w:uiPriority w:val="39"/>
    <w:pPr>
      <w:spacing w:after="57"/>
      <w:ind/>
    </w:pPr>
  </w:style>
  <w:style w:styleId="Style_24_ch" w:type="character">
    <w:name w:val="toc 1"/>
    <w:basedOn w:val="Style_5_ch"/>
    <w:link w:val="Style_24"/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0"/>
    </w:rPr>
  </w:style>
  <w:style w:styleId="Style_25_ch" w:type="character">
    <w:name w:val="Header and Footer"/>
    <w:link w:val="Style_25"/>
    <w:rPr>
      <w:rFonts w:ascii="XO Thames" w:hAnsi="XO Thames"/>
      <w:sz w:val="20"/>
    </w:rPr>
  </w:style>
  <w:style w:styleId="Style_26" w:type="paragraph">
    <w:name w:val="Intense Quote"/>
    <w:basedOn w:val="Style_5"/>
    <w:next w:val="Style_5"/>
    <w:link w:val="Style_26_ch"/>
    <w:pPr>
      <w:ind w:firstLine="0" w:left="720" w:right="720"/>
    </w:pPr>
    <w:rPr>
      <w:i w:val="1"/>
    </w:rPr>
  </w:style>
  <w:style w:styleId="Style_26_ch" w:type="character">
    <w:name w:val="Intense Quote"/>
    <w:basedOn w:val="Style_5_ch"/>
    <w:link w:val="Style_26"/>
    <w:rPr>
      <w:i w:val="1"/>
    </w:rPr>
  </w:style>
  <w:style w:styleId="Style_27" w:type="paragraph">
    <w:name w:val="toc 9"/>
    <w:basedOn w:val="Style_5"/>
    <w:next w:val="Style_5"/>
    <w:link w:val="Style_27_ch"/>
    <w:uiPriority w:val="39"/>
    <w:pPr>
      <w:spacing w:after="57"/>
      <w:ind w:firstLine="0" w:left="2268"/>
    </w:pPr>
  </w:style>
  <w:style w:styleId="Style_27_ch" w:type="character">
    <w:name w:val="toc 9"/>
    <w:basedOn w:val="Style_5_ch"/>
    <w:link w:val="Style_27"/>
  </w:style>
  <w:style w:styleId="Style_28" w:type="paragraph">
    <w:name w:val="toc 8"/>
    <w:basedOn w:val="Style_5"/>
    <w:next w:val="Style_5"/>
    <w:link w:val="Style_28_ch"/>
    <w:uiPriority w:val="39"/>
    <w:pPr>
      <w:spacing w:after="57"/>
      <w:ind w:firstLine="0" w:left="1984"/>
    </w:pPr>
  </w:style>
  <w:style w:styleId="Style_28_ch" w:type="character">
    <w:name w:val="toc 8"/>
    <w:basedOn w:val="Style_5_ch"/>
    <w:link w:val="Style_28"/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9" w:type="paragraph">
    <w:name w:val="Footer"/>
    <w:basedOn w:val="Style_5"/>
    <w:link w:val="Style_2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9_ch" w:type="character">
    <w:name w:val="Footer"/>
    <w:basedOn w:val="Style_5_ch"/>
    <w:link w:val="Style_29"/>
  </w:style>
  <w:style w:styleId="Style_30" w:type="paragraph">
    <w:name w:val="No Spacing"/>
    <w:link w:val="Style_30_ch"/>
    <w:pPr>
      <w:spacing w:after="0" w:line="240" w:lineRule="auto"/>
      <w:ind/>
    </w:pPr>
    <w:rPr>
      <w:rFonts w:ascii="Calibri" w:hAnsi="Calibri"/>
    </w:rPr>
  </w:style>
  <w:style w:styleId="Style_30_ch" w:type="character">
    <w:name w:val="No Spacing"/>
    <w:link w:val="Style_30"/>
    <w:rPr>
      <w:rFonts w:ascii="Calibri" w:hAnsi="Calibri"/>
    </w:rPr>
  </w:style>
  <w:style w:styleId="Style_31" w:type="paragraph">
    <w:name w:val="toc 5"/>
    <w:basedOn w:val="Style_5"/>
    <w:next w:val="Style_5"/>
    <w:link w:val="Style_31_ch"/>
    <w:uiPriority w:val="39"/>
    <w:pPr>
      <w:spacing w:after="57"/>
      <w:ind w:firstLine="0" w:left="1134"/>
    </w:pPr>
  </w:style>
  <w:style w:styleId="Style_31_ch" w:type="character">
    <w:name w:val="toc 5"/>
    <w:basedOn w:val="Style_5_ch"/>
    <w:link w:val="Style_31"/>
  </w:style>
  <w:style w:styleId="Style_32" w:type="paragraph">
    <w:name w:val="Footer Char"/>
    <w:basedOn w:val="Style_21"/>
    <w:link w:val="Style_32_ch"/>
  </w:style>
  <w:style w:styleId="Style_32_ch" w:type="character">
    <w:name w:val="Footer Char"/>
    <w:basedOn w:val="Style_21_ch"/>
    <w:link w:val="Style_32"/>
  </w:style>
  <w:style w:styleId="Style_33" w:type="paragraph">
    <w:name w:val="Quote"/>
    <w:basedOn w:val="Style_5"/>
    <w:next w:val="Style_5"/>
    <w:link w:val="Style_33_ch"/>
    <w:pPr>
      <w:ind w:firstLine="0" w:left="720" w:right="720"/>
    </w:pPr>
    <w:rPr>
      <w:i w:val="1"/>
    </w:rPr>
  </w:style>
  <w:style w:styleId="Style_33_ch" w:type="character">
    <w:name w:val="Quote"/>
    <w:basedOn w:val="Style_5_ch"/>
    <w:link w:val="Style_33"/>
    <w:rPr>
      <w:i w:val="1"/>
    </w:rPr>
  </w:style>
  <w:style w:styleId="Style_34" w:type="paragraph">
    <w:name w:val="endnote reference"/>
    <w:basedOn w:val="Style_21"/>
    <w:link w:val="Style_34_ch"/>
    <w:rPr>
      <w:vertAlign w:val="superscript"/>
    </w:rPr>
  </w:style>
  <w:style w:styleId="Style_34_ch" w:type="character">
    <w:name w:val="endnote reference"/>
    <w:basedOn w:val="Style_21_ch"/>
    <w:link w:val="Style_34"/>
    <w:rPr>
      <w:vertAlign w:val="superscript"/>
    </w:rPr>
  </w:style>
  <w:style w:styleId="Style_35" w:type="paragraph">
    <w:name w:val="Subtitle"/>
    <w:basedOn w:val="Style_5"/>
    <w:next w:val="Style_5"/>
    <w:link w:val="Style_35_ch"/>
    <w:uiPriority w:val="11"/>
    <w:qFormat/>
    <w:pPr>
      <w:spacing w:before="200"/>
      <w:ind/>
    </w:pPr>
    <w:rPr>
      <w:sz w:val="24"/>
    </w:rPr>
  </w:style>
  <w:style w:styleId="Style_35_ch" w:type="character">
    <w:name w:val="Subtitle"/>
    <w:basedOn w:val="Style_5_ch"/>
    <w:link w:val="Style_35"/>
    <w:rPr>
      <w:sz w:val="24"/>
    </w:rPr>
  </w:style>
  <w:style w:styleId="Style_36" w:type="paragraph">
    <w:name w:val="Title"/>
    <w:basedOn w:val="Style_5"/>
    <w:next w:val="Style_5"/>
    <w:link w:val="Style_36_ch"/>
    <w:uiPriority w:val="10"/>
    <w:qFormat/>
    <w:pPr>
      <w:spacing w:before="300"/>
      <w:ind/>
      <w:contextualSpacing w:val="1"/>
    </w:pPr>
    <w:rPr>
      <w:sz w:val="48"/>
    </w:rPr>
  </w:style>
  <w:style w:styleId="Style_36_ch" w:type="character">
    <w:name w:val="Title"/>
    <w:basedOn w:val="Style_5_ch"/>
    <w:link w:val="Style_36"/>
    <w:rPr>
      <w:sz w:val="48"/>
    </w:rPr>
  </w:style>
  <w:style w:styleId="Style_37" w:type="paragraph">
    <w:name w:val="heading 4"/>
    <w:basedOn w:val="Style_5"/>
    <w:next w:val="Style_5"/>
    <w:link w:val="Style_37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7_ch" w:type="character">
    <w:name w:val="heading 4"/>
    <w:basedOn w:val="Style_5_ch"/>
    <w:link w:val="Style_37"/>
    <w:rPr>
      <w:rFonts w:ascii="Arial" w:hAnsi="Arial"/>
      <w:b w:val="1"/>
      <w:sz w:val="26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38" w:type="paragraph">
    <w:name w:val="footnote reference"/>
    <w:basedOn w:val="Style_21"/>
    <w:link w:val="Style_38_ch"/>
    <w:rPr>
      <w:vertAlign w:val="superscript"/>
    </w:rPr>
  </w:style>
  <w:style w:styleId="Style_38_ch" w:type="character">
    <w:name w:val="footnote reference"/>
    <w:basedOn w:val="Style_21_ch"/>
    <w:link w:val="Style_38"/>
    <w:rPr>
      <w:vertAlign w:val="superscript"/>
    </w:rPr>
  </w:style>
  <w:style w:styleId="Style_39" w:type="paragraph">
    <w:name w:val="heading 2"/>
    <w:basedOn w:val="Style_5"/>
    <w:next w:val="Style_5"/>
    <w:link w:val="Style_39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39_ch" w:type="character">
    <w:name w:val="heading 2"/>
    <w:basedOn w:val="Style_5_ch"/>
    <w:link w:val="Style_39"/>
    <w:rPr>
      <w:rFonts w:ascii="Arial" w:hAnsi="Arial"/>
      <w:sz w:val="34"/>
    </w:rPr>
  </w:style>
  <w:style w:styleId="Style_40" w:type="paragraph">
    <w:name w:val="Caption"/>
    <w:basedOn w:val="Style_5"/>
    <w:next w:val="Style_5"/>
    <w:link w:val="Style_40_ch"/>
    <w:rPr>
      <w:b w:val="1"/>
      <w:color w:themeColor="accent1" w:val="4F81BD"/>
      <w:sz w:val="18"/>
    </w:rPr>
  </w:style>
  <w:style w:styleId="Style_40_ch" w:type="character">
    <w:name w:val="Caption"/>
    <w:basedOn w:val="Style_5_ch"/>
    <w:link w:val="Style_40"/>
    <w:rPr>
      <w:b w:val="1"/>
      <w:color w:themeColor="accent1" w:val="4F81BD"/>
      <w:sz w:val="18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4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44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45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4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47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48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49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50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51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5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53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54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55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56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5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59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60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1" w:type="table">
    <w:name w:val="List Table 1 Light - Accent 1"/>
    <w:basedOn w:val="Style_1"/>
    <w:pPr>
      <w:spacing w:after="0" w:line="240" w:lineRule="auto"/>
      <w:ind/>
    </w:pPr>
  </w:style>
  <w:style w:styleId="Style_62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3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6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5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7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8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0" w:type="table">
    <w:name w:val="List Table 1 Light - Accent 5"/>
    <w:basedOn w:val="Style_1"/>
    <w:pPr>
      <w:spacing w:after="0" w:line="240" w:lineRule="auto"/>
      <w:ind/>
    </w:pPr>
  </w:style>
  <w:style w:styleId="Style_71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72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73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4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75" w:type="table">
    <w:name w:val="List Table 1 Light"/>
    <w:basedOn w:val="Style_1"/>
    <w:pPr>
      <w:spacing w:after="0" w:line="240" w:lineRule="auto"/>
      <w:ind/>
    </w:pPr>
  </w:style>
  <w:style w:styleId="Style_76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77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8" w:type="table">
    <w:name w:val="Plain Table 5"/>
    <w:basedOn w:val="Style_1"/>
    <w:pPr>
      <w:spacing w:after="0" w:line="240" w:lineRule="auto"/>
      <w:ind/>
    </w:pPr>
  </w:style>
  <w:style w:styleId="Style_7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0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81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8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3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84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8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6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87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8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89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90" w:type="table">
    <w:name w:val="List Table 1 Light - Accent 2"/>
    <w:basedOn w:val="Style_1"/>
    <w:pPr>
      <w:spacing w:after="0" w:line="240" w:lineRule="auto"/>
      <w:ind/>
    </w:pPr>
  </w:style>
  <w:style w:styleId="Style_91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9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93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4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9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96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97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8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9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0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1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2" w:type="table">
    <w:name w:val="List Table 1 Light - Accent 4"/>
    <w:basedOn w:val="Style_1"/>
    <w:pPr>
      <w:spacing w:after="0" w:line="240" w:lineRule="auto"/>
      <w:ind/>
    </w:pPr>
  </w:style>
  <w:style w:styleId="Style_103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04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5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0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7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8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9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0" w:type="table">
    <w:name w:val="Plain Table 3"/>
    <w:basedOn w:val="Style_1"/>
    <w:pPr>
      <w:spacing w:after="0" w:line="240" w:lineRule="auto"/>
      <w:ind/>
    </w:pPr>
  </w:style>
  <w:style w:styleId="Style_111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2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3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14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15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6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17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8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1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20" w:type="table">
    <w:name w:val="Plain Table 4"/>
    <w:basedOn w:val="Style_1"/>
    <w:pPr>
      <w:spacing w:after="0" w:line="240" w:lineRule="auto"/>
      <w:ind/>
    </w:pPr>
  </w:style>
  <w:style w:styleId="Style_121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22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2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4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6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8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29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0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1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2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33" w:type="table">
    <w:name w:val="List Table 1 Light - Accent 3"/>
    <w:basedOn w:val="Style_1"/>
    <w:pPr>
      <w:spacing w:after="0" w:line="240" w:lineRule="auto"/>
      <w:ind/>
    </w:pPr>
  </w:style>
  <w:style w:styleId="Style_134" w:type="table">
    <w:name w:val="List Table 1 Light - Accent 6"/>
    <w:basedOn w:val="Style_1"/>
    <w:pPr>
      <w:spacing w:after="0" w:line="240" w:lineRule="auto"/>
      <w:ind/>
    </w:pPr>
  </w:style>
  <w:style w:styleId="Style_135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3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37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3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39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40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4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4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45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46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47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8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49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0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5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5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5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5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55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56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7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58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9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60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61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2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64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6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66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2026-06-22T13:37:16Z</dcterms:modified>
</cp:coreProperties>
</file>