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>
          <w:b/>
          <w:bCs/>
          <w:shd w:fill="auto" w:val="clear"/>
          <w:lang w:val="ru-RU" w:eastAsia="ru-RU" w:bidi="ar-SA"/>
        </w:rPr>
        <w:t>Протокол №</w:t>
      </w:r>
      <w:r>
        <w:rPr>
          <w:rFonts w:eastAsia="Times New Roman"/>
          <w:b/>
          <w:bCs/>
          <w:shd w:fill="auto" w:val="clear"/>
          <w:lang w:val="ru-RU" w:eastAsia="ru-RU" w:bidi="ar-SA"/>
        </w:rPr>
        <w:t xml:space="preserve"> </w:t>
      </w:r>
      <w:r>
        <w:rPr>
          <w:rFonts w:eastAsia="Times;Times New Roman" w:cs="Times;Times New Roman" w:ascii="Times;Times New Roman" w:hAnsi="Times;Times New Roman"/>
          <w:b/>
          <w:bCs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  <w:lang w:val="ru-RU" w:eastAsia="ru-RU" w:bidi="ar-SA"/>
        </w:rPr>
        <w:t xml:space="preserve"> </w:t>
      </w:r>
      <w:r>
        <w:rPr>
          <w:rFonts w:eastAsia="Times New Roman" w:cs="Times;Times New Roman" w:ascii="Times;Times New Roman" w:hAnsi="Times;Times New Roman"/>
          <w:b/>
          <w:bCs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  <w:lang w:val="ru-RU" w:eastAsia="ru-RU" w:bidi="ar-SA"/>
        </w:rPr>
        <w:t>0744200000226005350</w:t>
      </w:r>
    </w:p>
    <w:p>
      <w:pPr>
        <w:pStyle w:val="Normal"/>
        <w:bidi w:val="0"/>
        <w:spacing w:lineRule="atLeast" w:line="0" w:before="0" w:after="0"/>
        <w:jc w:val="center"/>
        <w:rPr/>
      </w:pPr>
      <w:r>
        <w:rPr>
          <w:rFonts w:eastAsia="Times New Roman" w:cs="Times New Roman"/>
          <w:b/>
          <w:bCs/>
          <w:sz w:val="24"/>
          <w:szCs w:val="24"/>
          <w:shd w:fill="auto" w:val="clear"/>
          <w:lang w:val="ru-RU" w:eastAsia="ru-RU" w:bidi="ar-SA"/>
        </w:rPr>
        <w:t xml:space="preserve">подведения итогов </w:t>
      </w:r>
      <w:r>
        <w:rPr>
          <w:rFonts w:eastAsia="Times New Roman" w:cs="Times New Roman" w:ascii="Times New Roman" w:hAnsi="Times New Roman"/>
          <w:b/>
          <w:bCs/>
          <w:sz w:val="22"/>
          <w:szCs w:val="22"/>
          <w:shd w:fill="auto" w:val="clear"/>
          <w:lang w:val="ru-RU" w:eastAsia="ru-RU" w:bidi="ar-SA"/>
        </w:rPr>
        <w:t xml:space="preserve">электронного </w:t>
      </w: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2"/>
          <w:szCs w:val="22"/>
          <w:shd w:fill="auto" w:val="clear"/>
          <w:lang w:val="ru-RU" w:eastAsia="ru-RU" w:bidi="ar-SA"/>
        </w:rPr>
        <w:t>запроса котировок</w:t>
      </w:r>
    </w:p>
    <w:tbl>
      <w:tblPr>
        <w:tblW w:w="10260" w:type="dxa"/>
        <w:jc w:val="left"/>
        <w:tblInd w:w="3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31"/>
        <w:gridCol w:w="5129"/>
      </w:tblGrid>
      <w:tr>
        <w:trPr>
          <w:trHeight w:val="100" w:hRule="atLeast"/>
        </w:trPr>
        <w:tc>
          <w:tcPr>
            <w:tcW w:w="5131" w:type="dxa"/>
            <w:tcBorders/>
          </w:tcPr>
          <w:p>
            <w:pPr>
              <w:pStyle w:val="BodyText"/>
              <w:spacing w:before="0" w:after="120"/>
              <w:rPr>
                <w:rFonts w:ascii="Times New Roman" w:hAnsi="Times New Roman" w:cs="Times New Roman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auto" w:val="clear"/>
              </w:rPr>
              <w:t>г. Курск</w:t>
            </w:r>
          </w:p>
        </w:tc>
        <w:tc>
          <w:tcPr>
            <w:tcW w:w="5129" w:type="dxa"/>
            <w:tcBorders/>
          </w:tcPr>
          <w:p>
            <w:pPr>
              <w:pStyle w:val="Normal"/>
              <w:widowControl w:val="false"/>
              <w:spacing w:before="0" w:after="120"/>
              <w:ind w:firstLine="737" w:right="0"/>
              <w:jc w:val="right"/>
              <w:rPr/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en-US" w:eastAsia="ru-RU"/>
              </w:rPr>
              <w:t>26.06.2026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z w:val="24"/>
                <w:szCs w:val="24"/>
                <w:shd w:fill="auto" w:val="clear"/>
                <w:lang w:val="en-US"/>
              </w:rPr>
              <w:t>г.</w:t>
            </w:r>
          </w:p>
        </w:tc>
      </w:tr>
    </w:tbl>
    <w:p>
      <w:pPr>
        <w:pStyle w:val="Normal"/>
        <w:jc w:val="left"/>
        <w:rPr/>
      </w:pPr>
      <w:r>
        <w:rPr>
          <w:b/>
          <w:bCs/>
          <w:shd w:fill="auto" w:val="clear"/>
          <w:lang w:val="ru-RU" w:eastAsia="ru-RU" w:bidi="ar-SA"/>
        </w:rPr>
        <w:t>Заказчиком является:</w:t>
      </w:r>
      <w:r>
        <w:rPr>
          <w:rFonts w:eastAsia="Times New Roman"/>
          <w:shd w:fill="auto" w:val="clear"/>
          <w:lang w:val="ru-RU" w:eastAsia="ru-RU" w:bidi="ar-SA"/>
        </w:rPr>
        <w:t xml:space="preserve"> </w:t>
      </w:r>
      <w:r>
        <w:rPr>
          <w:rFonts w:eastAsia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 w:eastAsia="ru-RU" w:bidi="ar-SA"/>
        </w:rPr>
        <w:t>ОБЛАСТНОЕ БЮДЖЕТНОЕ УЧРЕЖДЕНИЕ ЗДРАВООХРАНЕНИЯ "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position w:val="0"/>
          <w:sz w:val="24"/>
          <w:sz w:val="24"/>
          <w:szCs w:val="24"/>
          <w:u w:val="none"/>
          <w:shd w:fill="auto" w:val="clear"/>
          <w:vertAlign w:val="baseline"/>
          <w:lang w:val="en-US" w:eastAsia="ru-RU" w:bidi="ar-SA"/>
        </w:rPr>
        <w:t>КУРСКАЯ ОБЛАСТНАЯ МНОГОПРОФИЛЬНАЯ КЛИНИЧЕСКАЯ БОЛЬНИЦА</w:t>
      </w:r>
      <w:r>
        <w:rPr>
          <w:rFonts w:eastAsia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 w:eastAsia="ru-RU" w:bidi="ar-SA"/>
        </w:rPr>
        <w:t>"</w:t>
      </w:r>
      <w:r>
        <w:rPr>
          <w:rFonts w:eastAsia="Times New Roman"/>
          <w:shd w:fill="auto" w:val="clear"/>
          <w:lang w:val="ru-RU" w:eastAsia="ru-RU" w:bidi="ar-SA"/>
        </w:rPr>
        <w:br/>
      </w:r>
    </w:p>
    <w:p>
      <w:pPr>
        <w:pStyle w:val="Normal"/>
        <w:jc w:val="left"/>
        <w:rPr/>
      </w:pPr>
      <w:r>
        <w:rPr>
          <w:b/>
          <w:bCs/>
          <w:shd w:fill="auto" w:val="clear"/>
          <w:lang w:val="ru-RU" w:eastAsia="ru-RU" w:bidi="ar-SA"/>
        </w:rPr>
        <w:t>Идентификационный</w:t>
      </w:r>
      <w:r>
        <w:rPr>
          <w:rFonts w:eastAsia="Times New Roman"/>
          <w:b/>
          <w:bCs/>
          <w:shd w:fill="auto" w:val="clear"/>
          <w:lang w:val="ru-RU" w:eastAsia="ru-RU" w:bidi="ar-SA"/>
        </w:rPr>
        <w:t xml:space="preserve"> </w:t>
      </w:r>
      <w:r>
        <w:rPr>
          <w:b/>
          <w:bCs/>
          <w:shd w:fill="auto" w:val="clear"/>
          <w:lang w:val="ru-RU" w:eastAsia="ru-RU" w:bidi="ar-SA"/>
        </w:rPr>
        <w:t>код</w:t>
      </w:r>
      <w:r>
        <w:rPr>
          <w:rFonts w:eastAsia="Times New Roman"/>
          <w:b/>
          <w:bCs/>
          <w:shd w:fill="auto" w:val="clear"/>
          <w:lang w:val="ru-RU" w:eastAsia="ru-RU" w:bidi="ar-SA"/>
        </w:rPr>
        <w:t xml:space="preserve"> </w:t>
      </w:r>
      <w:r>
        <w:rPr>
          <w:b/>
          <w:bCs/>
          <w:shd w:fill="auto" w:val="clear"/>
          <w:lang w:val="ru-RU" w:eastAsia="ru-RU" w:bidi="ar-SA"/>
        </w:rPr>
        <w:t>закупки</w:t>
      </w:r>
      <w:r>
        <w:rPr>
          <w:rFonts w:eastAsia="Times New Roman"/>
          <w:shd w:fill="auto" w:val="clear"/>
          <w:lang w:val="ru-RU" w:eastAsia="ru-RU" w:bidi="ar-SA"/>
        </w:rPr>
        <w:t xml:space="preserve">: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  <w:lang w:val="en-US" w:eastAsia="ru-RU" w:bidi="ar-SA"/>
        </w:rPr>
        <w:t>262463228633746320100103560012120244.</w:t>
      </w:r>
      <w:r>
        <w:rPr>
          <w:rFonts w:eastAsia="Arial"/>
          <w:shd w:fill="auto" w:val="clear"/>
          <w:lang w:val="ru-RU" w:eastAsia="ru-RU" w:bidi="ar-SA"/>
        </w:rPr>
        <w:br/>
      </w:r>
    </w:p>
    <w:p>
      <w:pPr>
        <w:pStyle w:val="Normal"/>
        <w:jc w:val="left"/>
        <w:rPr/>
      </w:pPr>
      <w:r>
        <w:rPr>
          <w:b/>
          <w:bCs/>
          <w:shd w:fill="auto" w:val="clear"/>
          <w:lang w:val="ru-RU" w:eastAsia="ru-RU" w:bidi="ar-SA"/>
        </w:rPr>
        <w:t>Определение поставщика осуществляет:</w:t>
      </w:r>
      <w:r>
        <w:rPr>
          <w:rFonts w:eastAsia="Times New Roman"/>
          <w:shd w:fill="auto" w:val="clear"/>
          <w:lang w:val="ru-RU" w:eastAsia="ru-RU" w:bidi="ar-SA"/>
        </w:rPr>
        <w:t xml:space="preserve"> </w:t>
      </w:r>
      <w:r>
        <w:rPr>
          <w:rFonts w:cs="Times New Roman"/>
          <w:shd w:fill="auto" w:val="clear"/>
          <w:lang w:val="ru-RU" w:eastAsia="ru-RU" w:bidi="ar-SA"/>
        </w:rPr>
        <w:t>ОБЛАСТНОЕ КАЗЕННОЕ УЧРЕЖДЕНИЕ "ЦЕНТР ЗАКУПОК КУРСКОЙ ОБЛАСТИ"</w:t>
      </w:r>
      <w:r>
        <w:rPr>
          <w:rFonts w:cs="Arial"/>
          <w:shd w:fill="auto" w:val="clear"/>
          <w:lang w:val="ru-RU" w:eastAsia="ru-RU" w:bidi="ar-SA"/>
        </w:rPr>
        <w:br/>
      </w:r>
    </w:p>
    <w:p>
      <w:pPr>
        <w:pStyle w:val="Normal"/>
        <w:jc w:val="left"/>
        <w:rPr/>
      </w:pPr>
      <w:r>
        <w:rPr>
          <w:rFonts w:eastAsia="Times New Roman"/>
          <w:b/>
          <w:bCs/>
          <w:shd w:fill="auto" w:val="clear"/>
          <w:lang w:val="ru-RU" w:eastAsia="ru-RU" w:bidi="ar-SA"/>
        </w:rPr>
        <w:t xml:space="preserve">1. Наименование предмета электронного </w:t>
      </w: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2"/>
          <w:szCs w:val="22"/>
          <w:shd w:fill="auto" w:val="clear"/>
          <w:lang w:val="ru-RU" w:eastAsia="ru-RU" w:bidi="ar-SA"/>
        </w:rPr>
        <w:t>запроса котировок</w:t>
      </w:r>
      <w:r>
        <w:rPr>
          <w:rFonts w:eastAsia="Times New Roman"/>
          <w:b/>
          <w:bCs/>
          <w:shd w:fill="auto" w:val="clear"/>
          <w:lang w:val="ru-RU" w:eastAsia="ru-RU" w:bidi="ar-SA"/>
        </w:rPr>
        <w:t>:</w:t>
      </w:r>
      <w:r>
        <w:rPr>
          <w:rFonts w:eastAsia="Times New Roman"/>
          <w:shd w:fill="auto" w:val="clear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  <w:lang w:val="en-US" w:eastAsia="ru-RU" w:bidi="ar-SA"/>
        </w:rPr>
        <w:t>Поставка наборов реагентов-наборов для экстракции/изоляции нуклеиновых кислот ИВД.</w:t>
      </w:r>
      <w:r>
        <w:rPr>
          <w:rFonts w:cs="Arial"/>
          <w:shd w:fill="auto" w:val="clear"/>
          <w:lang w:val="ru-RU" w:eastAsia="ru-RU" w:bidi="ar-SA"/>
        </w:rPr>
        <w:br/>
      </w:r>
    </w:p>
    <w:p>
      <w:pPr>
        <w:pStyle w:val="Normal"/>
        <w:jc w:val="left"/>
        <w:rPr/>
      </w:pPr>
      <w:r>
        <w:rPr>
          <w:rFonts w:eastAsia="Times New Roman"/>
          <w:b/>
          <w:bCs/>
          <w:shd w:fill="auto" w:val="clear"/>
          <w:lang w:val="en-US" w:eastAsia="ru-RU" w:bidi="ar-SA"/>
        </w:rPr>
        <w:t xml:space="preserve">2. Начальная (максимальная) цена контракта: </w:t>
      </w:r>
      <w:r>
        <w:rPr>
          <w:rFonts w:eastAsia="Times New Roman"/>
          <w:b w:val="false"/>
          <w:bCs/>
          <w:color w:val="000000"/>
          <w:sz w:val="24"/>
          <w:szCs w:val="24"/>
          <w:shd w:fill="auto" w:val="clear"/>
          <w:lang w:val="en-US" w:eastAsia="ru-RU" w:bidi="ar-SA"/>
        </w:rPr>
        <w:t>676 460.46</w:t>
      </w:r>
      <w:r>
        <w:rPr>
          <w:rFonts w:eastAsia="Times New Roman"/>
          <w:b w:val="false"/>
          <w:bCs/>
          <w:i w:val="false"/>
          <w:caps w:val="false"/>
          <w:smallCaps w:val="false"/>
          <w:color w:val="000000"/>
          <w:sz w:val="24"/>
          <w:szCs w:val="24"/>
          <w:shd w:fill="auto" w:val="clear"/>
          <w:lang w:val="en-US" w:eastAsia="ru-RU" w:bidi="ar-SA"/>
        </w:rPr>
        <w:t xml:space="preserve"> руб.</w:t>
      </w:r>
      <w:r>
        <w:rPr>
          <w:rFonts w:cs="Arial"/>
          <w:shd w:fill="auto" w:val="clear"/>
          <w:lang w:val="en-US" w:eastAsia="ru-RU" w:bidi="ar-SA"/>
        </w:rPr>
        <w:br/>
      </w:r>
    </w:p>
    <w:p>
      <w:pPr>
        <w:pStyle w:val="Normal"/>
        <w:jc w:val="left"/>
        <w:rPr/>
      </w:pPr>
      <w:r>
        <w:rPr>
          <w:rFonts w:eastAsia="Times New Roman"/>
          <w:b/>
          <w:bCs/>
          <w:shd w:fill="auto" w:val="clear"/>
          <w:lang w:val="ru-RU" w:eastAsia="ru-RU" w:bidi="ar-SA"/>
        </w:rPr>
        <w:t>3.</w:t>
      </w:r>
      <w:r>
        <w:rPr>
          <w:rFonts w:eastAsia="Times New Roman"/>
          <w:shd w:fill="auto" w:val="clear"/>
          <w:lang w:val="ru-RU" w:eastAsia="ru-RU" w:bidi="ar-SA"/>
        </w:rPr>
        <w:t xml:space="preserve"> Дата подведения итогов определения поставщика по электронному </w:t>
      </w: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2"/>
          <w:szCs w:val="22"/>
          <w:shd w:fill="auto" w:val="clear"/>
          <w:lang w:val="ru-RU" w:eastAsia="ru-RU" w:bidi="ar-SA"/>
        </w:rPr>
        <w:t>запросу котировок</w:t>
      </w:r>
      <w:r>
        <w:rPr>
          <w:rFonts w:eastAsia="Times New Roman"/>
          <w:shd w:fill="auto" w:val="clear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auto" w:val="clear"/>
          <w:lang w:val="en-US" w:eastAsia="ru-RU" w:bidi="ar-SA"/>
        </w:rPr>
        <w:t>26.06.2026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auto" w:val="clear"/>
          <w:lang w:val="ru-RU" w:eastAsia="ru-RU" w:bidi="ar-SA"/>
        </w:rPr>
        <w:t>г</w:t>
      </w:r>
      <w:r>
        <w:rPr>
          <w:rFonts w:cs="Times New Roman"/>
          <w:shd w:fill="auto" w:val="clear"/>
          <w:lang w:val="ru-RU" w:eastAsia="ru-RU" w:bidi="ar-SA"/>
        </w:rPr>
        <w:br/>
      </w:r>
    </w:p>
    <w:p>
      <w:pPr>
        <w:pStyle w:val="Normal"/>
        <w:jc w:val="left"/>
        <w:rPr/>
      </w:pPr>
      <w:r>
        <w:rPr>
          <w:rFonts w:eastAsia="Times New Roman"/>
          <w:b/>
          <w:bCs/>
          <w:shd w:fill="auto" w:val="clear"/>
          <w:lang w:val="ru-RU" w:eastAsia="ru-RU" w:bidi="ar-SA"/>
        </w:rPr>
        <w:t>4.</w:t>
      </w:r>
      <w:r>
        <w:rPr>
          <w:rFonts w:eastAsia="Times New Roman"/>
          <w:shd w:fill="auto" w:val="clear"/>
          <w:lang w:val="ru-RU" w:eastAsia="ru-RU" w:bidi="ar-SA"/>
        </w:rPr>
        <w:t xml:space="preserve"> Состав комиссии по осуществлению закупок. </w:t>
        <w:br/>
        <w:t>На заседании комиссии по осуществлению закупок, при подведении итогов определения поставщика присутствовали:</w:t>
      </w:r>
    </w:p>
    <w:p>
      <w:pPr>
        <w:pStyle w:val="Normal"/>
        <w:jc w:val="left"/>
        <w:rPr/>
      </w:pPr>
      <w:r>
        <w:rPr/>
      </w:r>
    </w:p>
    <w:tbl>
      <w:tblPr>
        <w:tblW w:w="10065" w:type="dxa"/>
        <w:jc w:val="left"/>
        <w:tblInd w:w="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66"/>
        <w:gridCol w:w="5399"/>
      </w:tblGrid>
      <w:tr>
        <w:trPr/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1"/>
              <w:keepNext w:val="false"/>
              <w:keepLines w:val="false"/>
              <w:widowControl w:val="false"/>
              <w:spacing w:lineRule="auto" w:line="240" w:before="0" w:after="0"/>
              <w:ind w:right="0"/>
              <w:jc w:val="left"/>
              <w:rPr>
                <w:rFonts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Председатель комиссии</w:t>
            </w:r>
          </w:p>
        </w:tc>
        <w:tc>
          <w:tcPr>
            <w:tcW w:w="5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Каменева Татьяна Ивановна</w:t>
            </w:r>
          </w:p>
        </w:tc>
      </w:tr>
      <w:tr>
        <w:trPr/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1"/>
              <w:keepNext w:val="false"/>
              <w:keepLines w:val="false"/>
              <w:widowControl w:val="false"/>
              <w:spacing w:lineRule="auto" w:line="240" w:before="0" w:after="0"/>
              <w:ind w:right="0"/>
              <w:jc w:val="left"/>
              <w:rPr>
                <w:rFonts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Зам. председателя комиссии</w:t>
            </w:r>
          </w:p>
        </w:tc>
        <w:tc>
          <w:tcPr>
            <w:tcW w:w="5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Тимошенко Ирина Сергеевна</w:t>
            </w:r>
          </w:p>
        </w:tc>
      </w:tr>
      <w:tr>
        <w:trPr/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1"/>
              <w:keepNext w:val="false"/>
              <w:keepLines w:val="false"/>
              <w:widowControl w:val="false"/>
              <w:spacing w:lineRule="auto" w:line="240" w:before="0" w:after="0"/>
              <w:ind w:right="0"/>
              <w:jc w:val="left"/>
              <w:rPr>
                <w:rFonts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Член комиссии</w:t>
            </w:r>
          </w:p>
        </w:tc>
        <w:tc>
          <w:tcPr>
            <w:tcW w:w="5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Колодешникова Наталья Сергеевна</w:t>
            </w:r>
          </w:p>
        </w:tc>
      </w:tr>
      <w:tr>
        <w:trPr/>
        <w:tc>
          <w:tcPr>
            <w:tcW w:w="46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1"/>
              <w:keepNext w:val="false"/>
              <w:keepLines w:val="false"/>
              <w:widowControl w:val="false"/>
              <w:spacing w:lineRule="auto" w:line="240" w:before="0" w:after="0"/>
              <w:ind w:right="0"/>
              <w:jc w:val="left"/>
              <w:rPr>
                <w:rFonts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Член комиссии</w:t>
            </w:r>
          </w:p>
        </w:tc>
        <w:tc>
          <w:tcPr>
            <w:tcW w:w="5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Локтионов Алексей Леонидович</w:t>
            </w:r>
          </w:p>
        </w:tc>
      </w:tr>
      <w:tr>
        <w:trPr/>
        <w:tc>
          <w:tcPr>
            <w:tcW w:w="46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1"/>
              <w:keepNext w:val="false"/>
              <w:keepLines w:val="false"/>
              <w:widowControl w:val="false"/>
              <w:spacing w:lineRule="auto" w:line="240" w:before="0" w:after="0"/>
              <w:ind w:right="0"/>
              <w:jc w:val="left"/>
              <w:rPr>
                <w:rFonts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Секретарь комиссии</w:t>
            </w:r>
          </w:p>
        </w:tc>
        <w:tc>
          <w:tcPr>
            <w:tcW w:w="5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Минакова Виктория Михайловна</w:t>
            </w:r>
          </w:p>
        </w:tc>
      </w:tr>
    </w:tbl>
    <w:p>
      <w:pPr>
        <w:pStyle w:val="Normal"/>
        <w:jc w:val="left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Normal"/>
        <w:jc w:val="left"/>
        <w:rPr/>
      </w:pPr>
      <w:r>
        <w:rPr>
          <w:rFonts w:eastAsia="Times New Roman" w:cs="Times New Roman"/>
          <w:b/>
          <w:bCs/>
          <w:shd w:fill="auto" w:val="clear"/>
          <w:lang w:val="ru-RU" w:eastAsia="ru-RU" w:bidi="ar-SA"/>
        </w:rPr>
        <w:t>5</w:t>
      </w:r>
      <w:r>
        <w:rPr>
          <w:rFonts w:cs="Times New Roman"/>
          <w:b/>
          <w:bCs/>
          <w:shd w:fill="auto" w:val="clear"/>
          <w:lang w:val="ru-RU" w:eastAsia="ru-RU" w:bidi="ar-SA"/>
        </w:rPr>
        <w:t>.</w:t>
      </w:r>
      <w:r>
        <w:rPr>
          <w:rFonts w:eastAsia="Times New Roman"/>
          <w:shd w:fill="auto" w:val="clear"/>
          <w:lang w:val="ru-RU" w:eastAsia="ru-RU" w:bidi="ar-SA"/>
        </w:rPr>
        <w:t xml:space="preserve"> По окончании срока подачи заявок на участие в закупке </w:t>
      </w:r>
      <w:r>
        <w:rPr>
          <w:rFonts w:eastAsia="Times New Roman" w:cs="Times New Roman"/>
          <w:color w:val="000000"/>
          <w:kern w:val="2"/>
          <w:sz w:val="24"/>
          <w:szCs w:val="24"/>
          <w:shd w:fill="auto" w:val="clear"/>
          <w:lang w:val="ru-RU" w:eastAsia="ru-RU" w:bidi="ar-SA"/>
        </w:rPr>
        <w:t>26.06.2026г</w:t>
      </w:r>
      <w:r>
        <w:rPr>
          <w:rFonts w:cs="Times New Roman"/>
          <w:shd w:fill="auto" w:val="clear"/>
          <w:lang w:val="ru-RU" w:eastAsia="ru-RU" w:bidi="ar-SA"/>
        </w:rPr>
        <w:t xml:space="preserve"> 09:00</w:t>
      </w:r>
      <w:r>
        <w:rPr>
          <w:rFonts w:eastAsia="Times New Roman" w:cs="Times New Roman"/>
          <w:shd w:fill="auto" w:val="clear"/>
          <w:lang w:val="ru-RU" w:eastAsia="ru-RU" w:bidi="ar-SA"/>
        </w:rPr>
        <w:t xml:space="preserve"> ч. </w:t>
      </w:r>
      <w:r>
        <w:rPr>
          <w:shd w:fill="auto" w:val="clear"/>
          <w:lang w:val="ru-RU" w:eastAsia="ru-RU" w:bidi="ar-SA"/>
        </w:rPr>
        <w:t>была подана 1</w:t>
      </w:r>
      <w:r>
        <w:rPr>
          <w:rFonts w:cs="Times New Roman"/>
          <w:shd w:fill="auto" w:val="clear"/>
          <w:lang w:val="ru-RU" w:eastAsia="ru-RU" w:bidi="ar-SA"/>
        </w:rPr>
        <w:t xml:space="preserve"> заявка</w:t>
      </w:r>
      <w:r>
        <w:rPr>
          <w:rFonts w:eastAsia="Times New Roman" w:cs="Times New Roman"/>
          <w:sz w:val="24"/>
          <w:szCs w:val="24"/>
          <w:shd w:fill="auto" w:val="clear"/>
          <w:lang w:val="ru-RU" w:eastAsia="ru-RU" w:bidi="ar-SA"/>
        </w:rPr>
        <w:t>.</w:t>
      </w:r>
    </w:p>
    <w:p>
      <w:pPr>
        <w:pStyle w:val="Normal"/>
        <w:jc w:val="left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jc w:val="left"/>
        <w:rPr/>
      </w:pPr>
      <w:r>
        <w:rPr>
          <w:rFonts w:eastAsia="Times New Roman" w:cs="Times New Roman"/>
          <w:b/>
          <w:bCs/>
          <w:shd w:fill="auto" w:val="clear"/>
          <w:lang w:val="ru-RU" w:eastAsia="ru-RU" w:bidi="ar-SA"/>
        </w:rPr>
        <w:t>6</w:t>
      </w:r>
      <w:r>
        <w:rPr>
          <w:rFonts w:cs="Times New Roman"/>
          <w:b/>
          <w:bCs/>
          <w:shd w:fill="auto" w:val="clear"/>
          <w:lang w:val="ru-RU" w:eastAsia="ru-RU" w:bidi="ar-SA"/>
        </w:rPr>
        <w:t>.</w:t>
      </w:r>
      <w:r>
        <w:rPr>
          <w:rFonts w:eastAsia="Times New Roman"/>
          <w:shd w:fill="auto" w:val="clear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2"/>
          <w:szCs w:val="22"/>
          <w:shd w:fill="auto" w:val="clear"/>
          <w:lang w:val="ru-RU" w:eastAsia="ru-RU" w:bidi="ar-SA"/>
        </w:rPr>
        <w:t>Комиссия по осуществлению закупок рассмотрела в соответствии со ст. 50 Федерального закона № 44-ФЗ    заявки на участие в закупке, информацию и документы на соответствие извещению об осуществлении закупки и приняла следующие решения:</w:t>
      </w:r>
    </w:p>
    <w:p>
      <w:pPr>
        <w:pStyle w:val="Normal"/>
        <w:jc w:val="left"/>
        <w:rPr/>
      </w:pPr>
      <w:r>
        <w:rPr/>
      </w:r>
    </w:p>
    <w:tbl>
      <w:tblPr>
        <w:tblW w:w="10395" w:type="dxa"/>
        <w:jc w:val="left"/>
        <w:tblInd w:w="-9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90"/>
        <w:gridCol w:w="2325"/>
        <w:gridCol w:w="5580"/>
      </w:tblGrid>
      <w:tr>
        <w:trPr/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24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en-US" w:eastAsia="ru-RU" w:bidi="ar-SA"/>
              </w:rPr>
              <w:t>Порядковый номер, присвоенный комиссией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en-US" w:eastAsia="ru-RU" w:bidi="ar-SA"/>
              </w:rPr>
              <w:t>Идентификационный номер заявки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en-US" w:eastAsia="ru-RU" w:bidi="ar-SA"/>
              </w:rPr>
              <w:t>Решение</w:t>
            </w:r>
          </w:p>
        </w:tc>
      </w:tr>
      <w:tr>
        <w:trPr>
          <w:trHeight w:val="1310" w:hRule="atLeast"/>
        </w:trPr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spacing w:lineRule="exact" w:line="240"/>
              <w:jc w:val="center"/>
              <w:rPr>
                <w:rFonts w:ascii="Times New Roman" w:hAnsi="Times New Roman" w:cs="Times New Roman"/>
                <w:b w:val="false"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  <w:lang w:val="en-US" w:eastAsia="ru-RU" w:bidi="ar-SA"/>
              </w:rPr>
              <w:t>1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napToGrid w:val="false"/>
              <w:spacing w:lineRule="auto" w:line="240" w:before="0" w:after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LO-normal1"/>
              <w:widowControl w:val="false"/>
              <w:spacing w:lineRule="auto" w:line="240" w:before="0" w:after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LO-normal1"/>
              <w:keepNext w:val="false"/>
              <w:keepLines w:val="false"/>
              <w:widowControl w:val="false"/>
              <w:spacing w:lineRule="auto" w:line="240" w:before="0" w:after="0"/>
              <w:ind w:right="0"/>
              <w:jc w:val="center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kern w:val="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kern w:val="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ru-RU"/>
              </w:rPr>
              <w:t>1</w:t>
              <w:br/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Liberation Serif;Times New Roman" w:cs="Times New Roman"/>
                <w:kern w:val="0"/>
                <w:sz w:val="24"/>
                <w:szCs w:val="24"/>
                <w:lang w:val="ru-RU"/>
              </w:rPr>
            </w:pPr>
            <w:r>
              <w:rPr>
                <w:rFonts w:eastAsia="Liberation Serif;Times New Roman" w:cs="Times New Roman" w:ascii="Times New Roman" w:hAnsi="Times New Roman"/>
                <w:kern w:val="0"/>
                <w:sz w:val="24"/>
                <w:szCs w:val="24"/>
                <w:lang w:val="ru-RU"/>
              </w:rPr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false"/>
                <w:color w:val="000000"/>
                <w:kern w:val="2"/>
                <w:sz w:val="24"/>
                <w:szCs w:val="24"/>
                <w:shd w:fill="FFFFFF" w:val="clear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color w:val="000000"/>
                <w:kern w:val="2"/>
                <w:sz w:val="24"/>
                <w:szCs w:val="24"/>
                <w:shd w:fill="FFFFFF" w:val="clear"/>
                <w:lang w:val="en-US" w:eastAsia="ru-RU" w:bidi="ar-SA"/>
              </w:rPr>
              <w:t>Соответствует требованиям, установленным в извещении об осуществлении закупки</w:t>
            </w:r>
          </w:p>
        </w:tc>
      </w:tr>
    </w:tbl>
    <w:p>
      <w:pPr>
        <w:pStyle w:val="Normal"/>
        <w:jc w:val="left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jc w:val="left"/>
        <w:rPr/>
      </w:pPr>
      <w:r>
        <w:rPr>
          <w:shd w:fill="auto" w:val="clear"/>
          <w:lang w:val="ru-RU" w:eastAsia="ru-RU" w:bidi="ar-SA"/>
        </w:rPr>
        <w:t>Сведения о решении каждого члена комиссии по осуществлению закупок</w:t>
      </w:r>
      <w:r>
        <w:rPr>
          <w:rFonts w:eastAsia="Times New Roman"/>
          <w:shd w:fill="auto" w:val="clear"/>
          <w:lang w:val="ru-RU" w:eastAsia="ru-RU" w:bidi="ar-SA"/>
        </w:rPr>
        <w:t>:</w:t>
      </w:r>
      <w:r>
        <w:rPr>
          <w:rFonts w:eastAsia="Arial"/>
          <w:shd w:fill="auto" w:val="clear"/>
          <w:lang w:val="ru-RU" w:eastAsia="ru-RU" w:bidi="ar-SA"/>
        </w:rPr>
        <w:t xml:space="preserve"> </w:t>
      </w:r>
    </w:p>
    <w:p>
      <w:pPr>
        <w:pStyle w:val="Normal"/>
        <w:jc w:val="left"/>
        <w:rPr>
          <w:rFonts w:eastAsia="Arial"/>
          <w:shd w:fill="auto" w:val="clear"/>
          <w:lang w:val="ru-RU" w:eastAsia="ru-RU" w:bidi="ar-SA"/>
        </w:rPr>
      </w:pPr>
      <w:r>
        <w:rPr>
          <w:rFonts w:eastAsia="Arial"/>
          <w:shd w:fill="auto" w:val="clear"/>
          <w:lang w:val="ru-RU" w:eastAsia="ru-RU" w:bidi="ar-SA"/>
        </w:rPr>
      </w:r>
    </w:p>
    <w:p>
      <w:pPr>
        <w:pStyle w:val="Normal"/>
        <w:jc w:val="left"/>
        <w:rPr>
          <w:rFonts w:eastAsia="Arial"/>
          <w:shd w:fill="auto" w:val="clear"/>
          <w:lang w:val="ru-RU" w:eastAsia="ru-RU" w:bidi="ar-SA"/>
        </w:rPr>
      </w:pPr>
      <w:r>
        <w:rPr>
          <w:rFonts w:eastAsia="Arial"/>
          <w:shd w:fill="auto" w:val="clear"/>
          <w:lang w:val="ru-RU" w:eastAsia="ru-RU" w:bidi="ar-SA"/>
        </w:rPr>
      </w:r>
    </w:p>
    <w:p>
      <w:pPr>
        <w:pStyle w:val="Normal"/>
        <w:jc w:val="left"/>
        <w:rPr>
          <w:rFonts w:eastAsia="Arial"/>
          <w:shd w:fill="auto" w:val="clear"/>
          <w:lang w:val="ru-RU" w:eastAsia="ru-RU" w:bidi="ar-SA"/>
        </w:rPr>
      </w:pPr>
      <w:r>
        <w:rPr>
          <w:rFonts w:eastAsia="Arial"/>
          <w:shd w:fill="auto" w:val="clear"/>
          <w:lang w:val="ru-RU" w:eastAsia="ru-RU" w:bidi="ar-SA"/>
        </w:rPr>
        <w:br/>
        <w:t xml:space="preserve">                               </w:t>
      </w:r>
    </w:p>
    <w:p>
      <w:pPr>
        <w:pStyle w:val="Normal"/>
        <w:jc w:val="left"/>
        <w:rPr>
          <w:rFonts w:eastAsia="Arial"/>
          <w:shd w:fill="auto" w:val="clear"/>
          <w:lang w:val="ru-RU" w:eastAsia="ru-RU" w:bidi="ar-SA"/>
        </w:rPr>
      </w:pPr>
      <w:r>
        <w:rPr>
          <w:rFonts w:eastAsia="Arial"/>
          <w:shd w:fill="auto" w:val="clear"/>
          <w:lang w:val="ru-RU" w:eastAsia="ru-RU" w:bidi="ar-SA"/>
        </w:rPr>
      </w:r>
    </w:p>
    <w:p>
      <w:pPr>
        <w:pStyle w:val="Normal"/>
        <w:jc w:val="left"/>
        <w:rPr>
          <w:rFonts w:eastAsia="Arial"/>
          <w:shd w:fill="auto" w:val="clear"/>
          <w:lang w:val="ru-RU" w:eastAsia="ru-RU" w:bidi="ar-SA"/>
        </w:rPr>
      </w:pPr>
      <w:r>
        <w:rPr>
          <w:rFonts w:eastAsia="Arial"/>
          <w:shd w:fill="auto" w:val="clear"/>
          <w:lang w:val="ru-RU" w:eastAsia="ru-RU" w:bidi="ar-SA"/>
        </w:rPr>
      </w:r>
    </w:p>
    <w:tbl>
      <w:tblPr>
        <w:tblW w:w="10228" w:type="dxa"/>
        <w:jc w:val="left"/>
        <w:tblInd w:w="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05"/>
        <w:gridCol w:w="3823"/>
      </w:tblGrid>
      <w:tr>
        <w:trPr/>
        <w:tc>
          <w:tcPr>
            <w:tcW w:w="6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lang w:val="ru-RU" w:eastAsia="ru-RU" w:bidi="ar-SA"/>
              </w:rPr>
            </w:pPr>
            <w:r>
              <w:rPr>
                <w:rFonts w:cs="Times New Roman"/>
                <w:b/>
                <w:lang w:val="ru-RU" w:eastAsia="ru-RU" w:bidi="ar-SA"/>
              </w:rPr>
              <w:t>ФИО членов комиссии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cs="Times New Roman"/>
                <w:b/>
                <w:shd w:fill="auto" w:val="clear"/>
                <w:lang w:val="ru-RU" w:eastAsia="ru-RU" w:bidi="ar-SA"/>
              </w:rPr>
              <w:t xml:space="preserve">Заявка №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ru-RU" w:eastAsia="ru-RU" w:bidi="ar-SA"/>
              </w:rPr>
              <w:t>1</w:t>
            </w:r>
          </w:p>
        </w:tc>
      </w:tr>
      <w:tr>
        <w:trPr/>
        <w:tc>
          <w:tcPr>
            <w:tcW w:w="64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/>
            </w:pPr>
            <w:r>
              <w:rPr/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lang w:val="ru-RU" w:eastAsia="ru-RU" w:bidi="ar-SA"/>
              </w:rPr>
            </w:pPr>
            <w:r>
              <w:rPr>
                <w:rFonts w:cs="Times New Roman"/>
                <w:b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6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Каменева Татьяна Ивановна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Тимошенко Ирина Сергеевна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Колодешникова Наталья Сергеевна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Локтионов Алексей Леонидович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Минакова Виктория Михайловна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hd w:fill="auto" w:val="clear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widowControl w:val="false"/>
        <w:bidi w:val="0"/>
        <w:spacing w:before="0" w:after="0"/>
        <w:ind w:firstLine="567" w:right="0"/>
        <w:jc w:val="both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Normal"/>
        <w:jc w:val="left"/>
        <w:rPr/>
      </w:pPr>
      <w:r>
        <w:rPr>
          <w:rFonts w:eastAsia="Times New Roman" w:cs="Times New Roman"/>
          <w:b/>
          <w:bCs/>
          <w:shd w:fill="auto" w:val="clear"/>
          <w:lang w:val="ru-RU" w:eastAsia="ru-RU" w:bidi="ar-SA"/>
        </w:rPr>
        <w:t>7</w:t>
      </w:r>
      <w:bookmarkStart w:id="0" w:name="_Hlk88140206"/>
      <w:r>
        <w:rPr>
          <w:rFonts w:cs="Times New Roman"/>
          <w:b/>
          <w:bCs/>
          <w:shd w:fill="auto" w:val="clear"/>
          <w:lang w:val="ru-RU" w:eastAsia="ru-RU" w:bidi="ar-SA"/>
        </w:rPr>
        <w:t>.</w:t>
      </w:r>
      <w:r>
        <w:rPr>
          <w:rFonts w:eastAsia="Times New Roman"/>
          <w:shd w:fill="auto" w:val="clear"/>
          <w:lang w:val="ru-RU" w:eastAsia="ru-RU" w:bidi="ar-SA"/>
        </w:rPr>
        <w:t xml:space="preserve"> </w:t>
      </w:r>
      <w:bookmarkEnd w:id="0"/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val="ru-RU" w:eastAsia="ru-RU" w:bidi="ar-SA"/>
        </w:rPr>
        <w:t xml:space="preserve">В связи с тем, что по окончании срока подачи заявок на участие в закупке подана только одна заявка на участие в закупке, на основании п. 1 ч. 1 ст. 52 Федерального закона от 05.04.2013 № 44-ФЗ определение поставщика по электронному </w:t>
      </w:r>
      <w:r>
        <w:rPr>
          <w:rFonts w:eastAsia="Times New Roman" w:cs="Times New Roman" w:ascii="Times New Roman" w:hAnsi="Times New Roman"/>
          <w:color w:val="000000"/>
          <w:kern w:val="2"/>
          <w:sz w:val="24"/>
          <w:szCs w:val="24"/>
          <w:shd w:fill="auto" w:val="clear"/>
          <w:lang w:val="ru-RU" w:eastAsia="ru-RU" w:bidi="ar-SA"/>
        </w:rPr>
        <w:t>запросу котировок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val="ru-RU" w:eastAsia="ru-RU" w:bidi="ar-SA"/>
        </w:rPr>
        <w:t xml:space="preserve"> признается несостоявшимся.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shd w:fill="auto" w:val="clear"/>
          <w:lang w:val="ru-RU" w:eastAsia="ru-RU" w:bidi="ar-SA"/>
        </w:rPr>
        <w:t>:</w:t>
      </w:r>
      <w:r>
        <w:rPr>
          <w:rFonts w:eastAsia="Arial"/>
          <w:shd w:fill="auto" w:val="clear"/>
          <w:lang w:val="ru-RU" w:eastAsia="ru-RU" w:bidi="ar-SA"/>
        </w:rPr>
        <w:t xml:space="preserve">      </w:t>
      </w:r>
    </w:p>
    <w:p>
      <w:pPr>
        <w:pStyle w:val="Normal"/>
        <w:jc w:val="left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b/>
          <w:bCs/>
          <w:shd w:fill="auto" w:val="clear"/>
          <w:lang w:val="ru-RU" w:eastAsia="ru-RU" w:bidi="ar-SA"/>
        </w:rPr>
        <w:t>8</w:t>
      </w:r>
      <w:r>
        <w:rPr>
          <w:rFonts w:cs="Times New Roman"/>
          <w:b/>
          <w:bCs/>
          <w:shd w:fill="auto" w:val="clear"/>
          <w:lang w:val="ru-RU" w:eastAsia="ru-RU" w:bidi="ar-SA"/>
        </w:rPr>
        <w:t>.</w:t>
      </w:r>
      <w:r>
        <w:rPr>
          <w:rFonts w:eastAsia="Times New Roman" w:cs="Times New Roman"/>
          <w:b w:val="false"/>
          <w:bCs w:val="false"/>
          <w:sz w:val="24"/>
          <w:szCs w:val="24"/>
          <w:shd w:fill="auto" w:val="clear"/>
          <w:lang w:val="ru-RU" w:eastAsia="ru-RU" w:bidi="ar-SA"/>
        </w:rPr>
        <w:t xml:space="preserve">Настоящий протокол подведения итогов сформирован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</w:t>
      </w:r>
      <w:r>
        <w:rPr>
          <w:rFonts w:eastAsia="Times New Roman"/>
          <w:b w:val="false"/>
          <w:bCs w:val="false"/>
          <w:shd w:fill="auto" w:val="clear"/>
          <w:lang w:val="ru-RU" w:eastAsia="ru-RU" w:bidi="ar-SA"/>
        </w:rPr>
        <w:t xml:space="preserve"> 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Минакова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00:D3:13:73:76:D1:F3:47:D4:5B:1B:78:7A:86:2F:91:D3, действителен с 15.05.2026 06:10:22 по 08.08.2027 06:10:22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09:31:07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Тимошенко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00:81:ED:E1:8D:42:86:C6:89:BB:A5:A5:03:06:DD:0A:A0, действителен с 14.05.2026 06:21:42 по 07.08.2027 06:21:42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09:34:35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МНОГОПРОФИЛЬНАЯ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Колодешникова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77:C5:88:1B:21:98:80:6F:5B:CC:7D:F4:4E:A6:68:68, действителен с 05.11.2025 08:31:22 по 29.01.2027 08:31:22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10:03:59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МНОГОПРОФИЛЬНАЯ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Локтионов Алексей Леонидович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00:FA:42:14:61:F7:24:EB:3B:3B:81:84:77:23:B1:27:53, действителен с 06.05.2025 05:17:07 по 30.07.2026 05:17:07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10:05:29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Каменева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61:E2:80:28:BB:D3:0E:19:90:10:DD:E1:C2:E0:24:4B, действителен с 30.04.2026 11:15:28 по 24.07.2027 11:15:28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10:23:03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Минакова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00:D3:13:73:76:D1:F3:47:D4:5B:1B:78:7A:86:2F:91:D3, действителен с 15.05.2026 06:10:22 по 08.08.2027 06:10:22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10:34:36 МСК</w:t>
      </w:r>
    </w:p>
    <w:sectPr>
      <w:type w:val="nextPage"/>
      <w:pgSz w:w="11906" w:h="16838"/>
      <w:pgMar w:left="1077" w:right="567" w:gutter="0" w:header="0" w:top="1077" w:footer="0" w:bottom="964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Times New Roman CYR">
    <w:charset w:val="cc"/>
    <w:family w:val="roman"/>
    <w:pitch w:val="variable"/>
  </w:font>
  <w:font w:name="Open Sans">
    <w:charset w:val="01"/>
    <w:family w:val="swiss"/>
    <w:pitch w:val="variable"/>
  </w:font>
  <w:font w:name="Arial">
    <w:charset w:val="cc"/>
    <w:family w:val="swiss"/>
    <w:pitch w:val="variable"/>
  </w:font>
  <w:font w:name="Calibri">
    <w:charset w:val="80"/>
    <w:family w:val="roman"/>
    <w:pitch w:val="default"/>
  </w:font>
  <w:font w:name="Liberation Serif">
    <w:altName w:val="Times New Roman"/>
    <w:charset w:val="cc"/>
    <w:family w:val="roman"/>
    <w:pitch w:val="variable"/>
  </w:font>
  <w:font w:name="Times">
    <w:altName w:val="Times New Roman"/>
    <w:charset w:val="cc"/>
    <w:family w:val="roman"/>
    <w:pitch w:val="variable"/>
  </w:font>
  <w:font w:name="Times New Roman">
    <w:charset w:val="01"/>
    <w:family w:val="roman"/>
    <w:pitch w:val="variable"/>
  </w:font>
  <w:font w:name="Times New Roman">
    <w:charset w:val="8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Times New Roman" w:hAnsi="Times New Roman" w:eastAsia="SimSun" w:cs="Arial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Style14"/>
    <w:next w:val="BodyText"/>
    <w:qFormat/>
    <w:pPr>
      <w:numPr>
        <w:ilvl w:val="0"/>
        <w:numId w:val="1"/>
      </w:numPr>
      <w:outlineLvl w:val="0"/>
    </w:pPr>
    <w:rPr>
      <w:b/>
      <w:bCs/>
      <w:sz w:val="32"/>
      <w:szCs w:val="32"/>
    </w:rPr>
  </w:style>
  <w:style w:type="paragraph" w:styleId="Heading2">
    <w:name w:val="Heading 2"/>
    <w:basedOn w:val="Style14"/>
    <w:next w:val="BodyText"/>
    <w:qFormat/>
    <w:pPr>
      <w:numPr>
        <w:ilvl w:val="1"/>
        <w:numId w:val="1"/>
      </w:numPr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Style14"/>
    <w:next w:val="BodyText"/>
    <w:qFormat/>
    <w:pPr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Annotationreference">
    <w:name w:val="annotation reference"/>
    <w:basedOn w:val="DefaultParagraphFont"/>
    <w:qFormat/>
    <w:rPr>
      <w:rFonts w:cs="Times New Roman"/>
      <w:sz w:val="16"/>
      <w:szCs w:val="16"/>
    </w:rPr>
  </w:style>
  <w:style w:type="character" w:styleId="Style11">
    <w:name w:val="Текст примечания Знак"/>
    <w:basedOn w:val="DefaultParagraphFont"/>
    <w:qFormat/>
    <w:rPr>
      <w:rFonts w:cs="Times New Roman"/>
      <w:sz w:val="20"/>
      <w:szCs w:val="20"/>
    </w:rPr>
  </w:style>
  <w:style w:type="character" w:styleId="Style12">
    <w:name w:val="Тема примечания Знак"/>
    <w:basedOn w:val="Style11"/>
    <w:qFormat/>
    <w:rPr>
      <w:rFonts w:cs="Times New Roman"/>
      <w:b/>
      <w:bCs/>
      <w:sz w:val="20"/>
      <w:szCs w:val="20"/>
    </w:rPr>
  </w:style>
  <w:style w:type="character" w:styleId="Hyperlink">
    <w:name w:val="Hyperlink"/>
    <w:basedOn w:val="DefaultParagraphFont"/>
    <w:rPr>
      <w:rFonts w:cs="Times New Roman"/>
      <w:color w:val="000080"/>
      <w:u w:val="single"/>
      <w:lang w:val="zxx" w:eastAsia="zxx" w:bidi="zxx"/>
    </w:rPr>
  </w:style>
  <w:style w:type="character" w:styleId="Style13">
    <w:name w:val="Цветовое выделение для Текст"/>
    <w:qFormat/>
    <w:rPr>
      <w:rFonts w:ascii="Times New Roman CYR" w:hAnsi="Times New Roman CYR" w:eastAsia="Times New Roman CYR" w:cs="Times New Roman CYR"/>
      <w:sz w:val="24"/>
    </w:rPr>
  </w:style>
  <w:style w:type="character" w:styleId="Emphasis">
    <w:name w:val="Emphasis"/>
    <w:qFormat/>
    <w:rPr>
      <w:i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Revision">
    <w:name w:val="Revision"/>
    <w:qFormat/>
    <w:pPr>
      <w:widowControl/>
      <w:suppressAutoHyphens w:val="true"/>
      <w:bidi w:val="0"/>
      <w:ind w:hanging="0" w:left="0" w:right="0"/>
      <w:jc w:val="left"/>
      <w:textAlignment w:val="auto"/>
    </w:pPr>
    <w:rPr>
      <w:rFonts w:ascii="Calibri" w:hAnsi="Calibri" w:eastAsia="Cambria Math" w:cs="Calibri"/>
      <w:color w:val="auto"/>
      <w:kern w:val="2"/>
      <w:sz w:val="22"/>
      <w:szCs w:val="22"/>
      <w:lang w:val="ru-RU" w:eastAsia="ru-RU" w:bidi="ar-SA"/>
    </w:rPr>
  </w:style>
  <w:style w:type="paragraph" w:styleId="Annotationtext">
    <w:name w:val="annotation text"/>
    <w:qFormat/>
    <w:pPr>
      <w:widowControl/>
      <w:suppressAutoHyphens w:val="true"/>
      <w:bidi w:val="0"/>
      <w:spacing w:before="0" w:after="160"/>
      <w:ind w:hanging="0" w:left="0" w:right="0"/>
      <w:jc w:val="left"/>
      <w:textAlignment w:val="auto"/>
    </w:pPr>
    <w:rPr>
      <w:rFonts w:ascii="Calibri" w:hAnsi="Calibri" w:eastAsia="SimSun" w:cs="Arial"/>
      <w:color w:val="auto"/>
      <w:kern w:val="2"/>
      <w:sz w:val="20"/>
      <w:szCs w:val="20"/>
      <w:lang w:val="ru-RU" w:eastAsia="ru-RU" w:bidi="ar-SA"/>
    </w:rPr>
  </w:style>
  <w:style w:type="paragraph" w:styleId="Annotationsubject">
    <w:name w:val="annotation subject"/>
    <w:basedOn w:val="Annotationtext"/>
    <w:qFormat/>
    <w:pPr>
      <w:widowControl/>
      <w:spacing w:before="0" w:after="160"/>
      <w:ind w:hanging="0" w:left="0" w:right="0"/>
      <w:jc w:val="left"/>
      <w:textAlignment w:val="auto"/>
    </w:pPr>
    <w:rPr>
      <w:rFonts w:ascii="Calibri" w:hAnsi="Calibri" w:cs="Calibri"/>
      <w:b/>
      <w:bCs/>
      <w:sz w:val="20"/>
      <w:szCs w:val="20"/>
      <w:lang w:val="ru-RU" w:eastAsia="ru-RU" w:bidi="ar-SA"/>
    </w:rPr>
  </w:style>
  <w:style w:type="paragraph" w:styleId="Style17">
    <w:name w:val="Содержимое таблицы"/>
    <w:basedOn w:val="Normal"/>
    <w:qFormat/>
    <w:pPr>
      <w:suppressLineNumbers/>
    </w:pPr>
    <w:rPr/>
  </w:style>
  <w:style w:type="paragraph" w:styleId="Style18">
    <w:name w:val="Заголовок таблицы"/>
    <w:basedOn w:val="Style17"/>
    <w:qFormat/>
    <w:pPr>
      <w:suppressLineNumbers/>
      <w:jc w:val="center"/>
    </w:pPr>
    <w:rPr>
      <w:b/>
      <w:bCs/>
    </w:rPr>
  </w:style>
  <w:style w:type="paragraph" w:styleId="LO-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oto Serif CJK SC" w:cs="Lohit Devanagari"/>
      <w:color w:val="00000A"/>
      <w:kern w:val="0"/>
      <w:sz w:val="24"/>
      <w:szCs w:val="24"/>
      <w:lang w:val="ru-RU" w:eastAsia="zh-CN" w:bidi="hi-IN"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oto Serif CJK SC" w:cs="Lohit Devanagari"/>
      <w:color w:val="00000A"/>
      <w:kern w:val="0"/>
      <w:sz w:val="24"/>
      <w:szCs w:val="24"/>
      <w:lang w:val="ru-RU" w:eastAsia="zh-CN" w:bidi="hi-IN"/>
    </w:rPr>
  </w:style>
  <w:style w:type="paragraph" w:styleId="LO-normal17">
    <w:name w:val="LO-normal17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sz w:val="24"/>
      <w:szCs w:val="24"/>
      <w:lang w:val="ru-RU" w:eastAsia="zh-CN" w:bidi="hi-IN"/>
    </w:rPr>
  </w:style>
  <w:style w:type="paragraph" w:styleId="LO-normal7">
    <w:name w:val="LO-normal7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sz w:val="24"/>
      <w:szCs w:val="24"/>
      <w:lang w:val="ru-RU" w:eastAsia="zh-CN" w:bidi="hi-IN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170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2021-11-25T11:09:00Z</dcterms:created>
  <dc:creator>paggard</dc:creator>
  <dc:description/>
  <dc:language>en-US</dc:language>
  <cp:lastModifiedBy/>
  <cp:lastPrinted>1995-11-21T17:41:00Z</cp:lastPrinted>
  <dcterms:modified xsi:type="dcterms:W3CDTF">2026-06-26T09:31:48Z</dcterms:modified>
  <cp:revision>37</cp:revision>
  <dc:subject/>
  <dc:title>Paggard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Алина Тарасенко</vt:lpwstr>
  </property>
</Properties>
</file>