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keepNext w:val="true"/>
        <w:spacing w:lineRule="auto" w:line="360" w:before="0" w:after="0"/>
        <w:ind w:right="-28"/>
        <w:jc w:val="center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>ПРОТОКОЛ</w:t>
      </w:r>
    </w:p>
    <w:p>
      <w:pPr>
        <w:pStyle w:val="Normal"/>
        <w:spacing w:lineRule="auto" w:line="240" w:before="0" w:after="0"/>
        <w:ind w:right="-1"/>
        <w:jc w:val="center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>подведения итогов определения поставщика (подрядчика, исполнителя)</w:t>
      </w:r>
    </w:p>
    <w:p>
      <w:pPr>
        <w:pStyle w:val="Normal"/>
        <w:spacing w:lineRule="auto" w:line="240" w:before="0" w:after="0"/>
        <w:ind w:right="-1"/>
        <w:jc w:val="center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>(0164300012726000121)</w:t>
      </w:r>
    </w:p>
    <w:p>
      <w:pPr>
        <w:pStyle w:val="Normal"/>
        <w:spacing w:lineRule="auto" w:line="240" w:before="0" w:after="0"/>
        <w:ind w:left="3828" w:right="5243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</w:p>
    <w:tbl>
      <w:tblPr>
        <w:tblW w:w="10206" w:type="dxa"/>
        <w:jc w:val="left"/>
        <w:tblInd w:w="-5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3543"/>
        <w:gridCol w:w="3261"/>
        <w:gridCol w:w="3402"/>
      </w:tblGrid>
      <w:tr>
        <w:trPr/>
        <w:tc>
          <w:tcPr>
            <w:tcW w:w="3543" w:type="dxa"/>
            <w:tcBorders/>
            <w:vAlign w:val="bottom"/>
          </w:tcPr>
          <w:p>
            <w:pPr>
              <w:pStyle w:val="ListParagraph1"/>
              <w:tabs>
                <w:tab w:val="clear" w:pos="708"/>
                <w:tab w:val="left" w:pos="567" w:leader="none"/>
              </w:tabs>
              <w:spacing w:lineRule="auto" w:line="240" w:before="0" w:after="0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05.08.2026</w:t>
            </w:r>
          </w:p>
        </w:tc>
        <w:tc>
          <w:tcPr>
            <w:tcW w:w="3261" w:type="dxa"/>
            <w:tcBorders/>
            <w:vAlign w:val="bottom"/>
          </w:tcPr>
          <w:p>
            <w:pPr>
              <w:pStyle w:val="ListParagraph1"/>
              <w:tabs>
                <w:tab w:val="clear" w:pos="708"/>
                <w:tab w:val="left" w:pos="567" w:leader="none"/>
              </w:tabs>
              <w:spacing w:lineRule="auto" w:line="240" w:before="60" w:after="60"/>
              <w:ind w:left="0"/>
              <w:jc w:val="right"/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</w:p>
        </w:tc>
        <w:tc>
          <w:tcPr>
            <w:tcW w:w="3402" w:type="dxa"/>
            <w:tcBorders/>
          </w:tcPr>
          <w:p>
            <w:pPr>
              <w:pStyle w:val="ListParagraph1"/>
              <w:tabs>
                <w:tab w:val="clear" w:pos="708"/>
                <w:tab w:val="left" w:pos="567" w:leader="none"/>
              </w:tabs>
              <w:spacing w:lineRule="auto" w:line="240" w:before="60" w:after="60"/>
              <w:ind w:left="0"/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>0164300012726000121-1-1</w:t>
            </w:r>
          </w:p>
        </w:tc>
      </w:tr>
      <w:tr>
        <w:trPr/>
        <w:tc>
          <w:tcPr>
            <w:tcW w:w="10206" w:type="dxa"/>
            <w:gridSpan w:val="3"/>
            <w:tcBorders/>
            <w:vAlign w:val="bottom"/>
          </w:tcPr>
          <w:p>
            <w:pPr>
              <w:pStyle w:val="ListParagraph1"/>
              <w:tabs>
                <w:tab w:val="clear" w:pos="708"/>
                <w:tab w:val="left" w:pos="567" w:leader="none"/>
              </w:tabs>
              <w:spacing w:lineRule="auto" w:line="240" w:before="60" w:after="60"/>
              <w:ind w:left="0"/>
              <w:jc w:val="center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Тамбовская обл, Мичуринск г</w:t>
            </w:r>
          </w:p>
        </w:tc>
      </w:tr>
    </w:tbl>
    <w:p>
      <w:pPr>
        <w:pStyle w:val="ListParagraph1"/>
        <w:tabs>
          <w:tab w:val="clear" w:pos="708"/>
          <w:tab w:val="left" w:pos="567" w:leader="none"/>
        </w:tabs>
        <w:spacing w:lineRule="auto" w:line="240" w:before="60" w:after="60"/>
        <w:ind w:left="0"/>
        <w:rPr>
          <w:rFonts w:cs="Times New Roman"/>
          <w:bCs/>
        </w:rPr>
      </w:pPr>
      <w:r>
        <w:rPr>
          <w:rFonts w:cs="Times New Roman"/>
          <w:bCs/>
        </w:rPr>
      </w:r>
    </w:p>
    <w:p>
      <w:pPr>
        <w:pStyle w:val="ListParagraph"/>
        <w:widowControl w:val="false"/>
        <w:numPr>
          <w:ilvl w:val="0"/>
          <w:numId w:val="1"/>
        </w:numPr>
        <w:spacing w:lineRule="auto" w:line="240" w:before="60" w:after="0"/>
        <w:contextualSpacing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</w:p>
    <w:p>
      <w:pPr>
        <w:pStyle w:val="Normal"/>
        <w:widowControl w:val="false"/>
        <w:spacing w:lineRule="auto" w:line="240" w:before="60" w:after="0"/>
        <w:rPr>
          <w:rFonts w:eastAsia="Times New Roman"/>
        </w:rPr>
      </w:pPr>
      <w:r>
        <w:rPr>
          <w:rFonts w:eastAsia="Times New Roman"/>
        </w:rPr>
        <w:t>Уполномоченный орган АДМИНИСТРАЦИЯ ГОРОДА МИЧУРИНСКА ТАМБОВСКОЙ ОБЛАСТИ.</w:t>
      </w:r>
    </w:p>
    <w:p>
      <w:pPr>
        <w:pStyle w:val="ListParagraph"/>
        <w:widowControl w:val="false"/>
        <w:numPr>
          <w:ilvl w:val="0"/>
          <w:numId w:val="1"/>
        </w:numPr>
        <w:spacing w:lineRule="auto" w:line="240" w:before="60" w:after="0"/>
        <w:contextualSpacing/>
        <w:rPr>
          <w:rFonts w:eastAsia="Times New Roman"/>
        </w:rPr>
      </w:pPr>
      <w:r>
        <w:rPr>
          <w:rFonts w:eastAsia="Times New Roman"/>
        </w:rPr>
        <w:t xml:space="preserve">Заказчик(и): </w:t>
      </w:r>
    </w:p>
    <w:tbl>
      <w:tblPr>
        <w:tblStyle w:val="860"/>
        <w:tblW w:w="10093" w:type="dxa"/>
        <w:jc w:val="left"/>
        <w:tblInd w:w="108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10093"/>
      </w:tblGrid>
      <w:tr>
        <w:trPr/>
        <w:tc>
          <w:tcPr>
            <w:tcW w:w="1009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АДМИНИСТРАЦИЯ ГОРОДА МИЧУРИНСКА ТАМБОВСКОЙ ОБЛАСТИ</w:t>
            </w:r>
          </w:p>
        </w:tc>
      </w:tr>
    </w:tbl>
    <w:p>
      <w:pPr>
        <w:pStyle w:val="ListParagraph"/>
        <w:widowControl w:val="false"/>
        <w:numPr>
          <w:ilvl w:val="0"/>
          <w:numId w:val="1"/>
        </w:numPr>
        <w:spacing w:lineRule="auto" w:line="240" w:before="60" w:after="0"/>
        <w:contextualSpacing/>
        <w:rPr/>
      </w:pPr>
      <w:r>
        <w:rPr/>
        <w:t>Идентификационный код закупки: 263682700277468270100100770017490244.</w:t>
      </w:r>
      <w:r>
        <w:rPr>
          <w:lang w:val="en-US"/>
        </w:rPr>
        <w:t xml:space="preserve"> </w:t>
      </w:r>
    </w:p>
    <w:p>
      <w:pPr>
        <w:pStyle w:val="ListParagraph"/>
        <w:widowControl w:val="false"/>
        <w:numPr>
          <w:ilvl w:val="0"/>
          <w:numId w:val="1"/>
        </w:numPr>
        <w:spacing w:lineRule="auto" w:line="240" w:before="0" w:after="0"/>
        <w:contextualSpacing/>
        <w:rPr/>
      </w:pPr>
      <w:r>
        <w:rPr/>
        <w:t xml:space="preserve">Извещение об осуществлении закупки размещено 28.07.2026 11:42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>http</w:t>
      </w:r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</w:t>
      </w:r>
      <w:r>
        <w:rPr/>
        <w:t>.</w:t>
      </w:r>
    </w:p>
    <w:p>
      <w:pPr>
        <w:pStyle w:val="ListParagraph"/>
        <w:widowControl w:val="false"/>
        <w:numPr>
          <w:ilvl w:val="0"/>
          <w:numId w:val="1"/>
        </w:numPr>
        <w:spacing w:lineRule="auto" w:line="240" w:before="0" w:after="0"/>
        <w:contextualSpacing/>
        <w:rPr/>
      </w:pPr>
      <w:r>
        <w:rPr/>
        <w:t>Наименование объекта закупки: Оказание услуг по определению рыночно-обоснованной величины годового размера арендной платы земельных участков.</w:t>
      </w:r>
    </w:p>
    <w:p>
      <w:pPr>
        <w:pStyle w:val="ListParagraph"/>
        <w:widowControl w:val="false"/>
        <w:numPr>
          <w:ilvl w:val="0"/>
          <w:numId w:val="1"/>
        </w:numPr>
        <w:spacing w:lineRule="auto" w:line="240" w:before="0" w:after="0"/>
        <w:contextualSpacing/>
        <w:rPr/>
      </w:pPr>
      <w:r>
        <w:rPr/>
        <w:t>Начальная (максимальная) цена контракта, руб.: 18 000.00</w:t>
      </w:r>
    </w:p>
    <w:p>
      <w:pPr>
        <w:pStyle w:val="Normal"/>
        <w:widowControl w:val="false"/>
        <w:spacing w:lineRule="auto" w:line="240" w:before="60" w:after="0"/>
        <w:rPr/>
      </w:pPr>
      <w:r>
        <w:rPr/>
      </w:r>
    </w:p>
    <w:p>
      <w:pPr>
        <w:pStyle w:val="ListParagraph"/>
        <w:keepNext w:val="true"/>
        <w:widowControl w:val="false"/>
        <w:numPr>
          <w:ilvl w:val="0"/>
          <w:numId w:val="1"/>
        </w:numPr>
        <w:spacing w:lineRule="auto" w:line="240" w:before="60" w:after="0"/>
        <w:contextualSpacing/>
        <w:rPr/>
      </w:pPr>
      <w:r>
        <w:rPr/>
        <w:t>Состав комиссии по осуществлению закупок:</w:t>
      </w:r>
    </w:p>
    <w:tbl>
      <w:tblPr>
        <w:tblW w:w="10205" w:type="dxa"/>
        <w:jc w:val="left"/>
        <w:tblInd w:w="-5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0" w:noVBand="1" w:lastRow="0" w:firstColumn="0" w:lastColumn="0" w:noHBand="0" w:val="0400"/>
      </w:tblPr>
      <w:tblGrid>
        <w:gridCol w:w="2529"/>
        <w:gridCol w:w="2553"/>
        <w:gridCol w:w="3353"/>
        <w:gridCol w:w="1769"/>
      </w:tblGrid>
      <w:tr>
        <w:trPr/>
        <w:tc>
          <w:tcPr>
            <w:tcW w:w="2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center"/>
              <w:rPr>
                <w:b/>
              </w:rPr>
            </w:pPr>
            <w:r>
              <w:rPr>
                <w:b/>
              </w:rPr>
              <w:t>Роль</w:t>
            </w:r>
          </w:p>
        </w:tc>
        <w:tc>
          <w:tcPr>
            <w:tcW w:w="2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center"/>
              <w:rPr>
                <w:b/>
              </w:rPr>
            </w:pPr>
            <w:r>
              <w:rPr>
                <w:b/>
              </w:rPr>
              <w:t>Должность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center"/>
              <w:rPr>
                <w:b/>
              </w:rPr>
            </w:pPr>
            <w:r>
              <w:rPr>
                <w:b/>
              </w:rPr>
              <w:t>Фамилия, имя, отчество</w:t>
            </w:r>
          </w:p>
        </w:tc>
        <w:tc>
          <w:tcPr>
            <w:tcW w:w="1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center"/>
              <w:rPr>
                <w:b/>
              </w:rPr>
            </w:pPr>
            <w:r>
              <w:rPr>
                <w:b/>
              </w:rPr>
              <w:t>Статус</w:t>
            </w:r>
          </w:p>
        </w:tc>
      </w:tr>
      <w:tr>
        <w:trPr/>
        <w:tc>
          <w:tcPr>
            <w:tcW w:w="2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left"/>
              <w:rPr/>
            </w:pPr>
            <w:r>
              <w:rPr/>
              <w:t>Председатель комиссии</w:t>
            </w:r>
          </w:p>
        </w:tc>
        <w:tc>
          <w:tcPr>
            <w:tcW w:w="2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left"/>
              <w:rPr/>
            </w:pPr>
            <w:r>
              <w:rPr/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left"/>
              <w:rPr/>
            </w:pPr>
            <w:r>
              <w:rPr/>
              <w:t>Мананникова Эльвира Евгеньевна</w:t>
            </w:r>
          </w:p>
        </w:tc>
        <w:tc>
          <w:tcPr>
            <w:tcW w:w="1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/>
              <w:t>Присутствует</w:t>
            </w:r>
          </w:p>
        </w:tc>
      </w:tr>
      <w:tr>
        <w:trPr/>
        <w:tc>
          <w:tcPr>
            <w:tcW w:w="2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left"/>
              <w:rPr/>
            </w:pPr>
            <w:r>
              <w:rPr/>
              <w:t>Член комиссии</w:t>
            </w:r>
          </w:p>
        </w:tc>
        <w:tc>
          <w:tcPr>
            <w:tcW w:w="2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left"/>
              <w:rPr/>
            </w:pPr>
            <w:r>
              <w:rPr/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left"/>
              <w:rPr/>
            </w:pPr>
            <w:r>
              <w:rPr/>
              <w:t>Бацких Виталий Викторович</w:t>
            </w:r>
          </w:p>
        </w:tc>
        <w:tc>
          <w:tcPr>
            <w:tcW w:w="1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/>
              <w:t>Отсутствует</w:t>
            </w:r>
          </w:p>
        </w:tc>
      </w:tr>
      <w:tr>
        <w:trPr/>
        <w:tc>
          <w:tcPr>
            <w:tcW w:w="2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left"/>
              <w:rPr/>
            </w:pPr>
            <w:r>
              <w:rPr/>
              <w:t>Член комиссии</w:t>
            </w:r>
          </w:p>
        </w:tc>
        <w:tc>
          <w:tcPr>
            <w:tcW w:w="2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left"/>
              <w:rPr/>
            </w:pPr>
            <w:r>
              <w:rPr/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left"/>
              <w:rPr/>
            </w:pPr>
            <w:r>
              <w:rPr/>
              <w:t>Мячина Виктория Сергеевна</w:t>
            </w:r>
          </w:p>
        </w:tc>
        <w:tc>
          <w:tcPr>
            <w:tcW w:w="1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/>
              <w:t>Отсутствует</w:t>
            </w:r>
          </w:p>
        </w:tc>
      </w:tr>
      <w:tr>
        <w:trPr/>
        <w:tc>
          <w:tcPr>
            <w:tcW w:w="2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left"/>
              <w:rPr/>
            </w:pPr>
            <w:r>
              <w:rPr/>
              <w:t>Член комиссии</w:t>
            </w:r>
          </w:p>
        </w:tc>
        <w:tc>
          <w:tcPr>
            <w:tcW w:w="2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left"/>
              <w:rPr/>
            </w:pPr>
            <w:r>
              <w:rPr/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left"/>
              <w:rPr/>
            </w:pPr>
            <w:r>
              <w:rPr/>
              <w:t>Шубина Татьяна Павловна</w:t>
            </w:r>
          </w:p>
        </w:tc>
        <w:tc>
          <w:tcPr>
            <w:tcW w:w="1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/>
              <w:t>Присутствует</w:t>
            </w:r>
          </w:p>
        </w:tc>
      </w:tr>
    </w:tbl>
    <w:p>
      <w:pPr>
        <w:pStyle w:val="Normal"/>
        <w:widowControl w:val="false"/>
        <w:spacing w:lineRule="auto" w:line="240" w:before="60" w:after="0"/>
        <w:rPr/>
      </w:pPr>
      <w:r>
        <w:rPr/>
        <w:t xml:space="preserve">Количество членов комиссии, присутствующих на заседании: 2. </w:t>
      </w:r>
      <w:r>
        <w:rPr>
          <w:rFonts w:eastAsia="Times New Roman"/>
          <w:lang w:eastAsia="ru-RU"/>
        </w:rPr>
        <w:t>Кворум имеется. Комиссия правомочна.</w:t>
      </w:r>
    </w:p>
    <w:p>
      <w:pPr>
        <w:pStyle w:val="ListParagraph"/>
        <w:numPr>
          <w:ilvl w:val="0"/>
          <w:numId w:val="1"/>
        </w:numPr>
        <w:spacing w:lineRule="auto" w:line="240" w:before="60" w:after="0"/>
        <w:contextualSpacing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Комиссия рассмотрела информацию и докумен</w:t>
      </w:r>
      <w:bookmarkStart w:id="0" w:name="_GoBack"/>
      <w:bookmarkEnd w:id="0"/>
      <w:r>
        <w:rPr>
          <w:rFonts w:eastAsia="Times New Roman"/>
          <w:lang w:eastAsia="ru-RU"/>
        </w:rPr>
        <w:t>ты, направленные в соответствии с ч.2 ст.50 Федерального закона №44-ФЗ, и приняла следующее решение:</w:t>
      </w:r>
    </w:p>
    <w:tbl>
      <w:tblPr>
        <w:tblStyle w:val="860"/>
        <w:tblW w:w="10206" w:type="dxa"/>
        <w:jc w:val="left"/>
        <w:tblInd w:w="-5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1293"/>
        <w:gridCol w:w="1359"/>
        <w:gridCol w:w="1387"/>
        <w:gridCol w:w="2376"/>
        <w:gridCol w:w="1510"/>
        <w:gridCol w:w="1140"/>
        <w:gridCol w:w="1140"/>
      </w:tblGrid>
      <w:tr>
        <w:trPr>
          <w:trHeight w:val="843" w:hRule="atLeast"/>
        </w:trPr>
        <w:tc>
          <w:tcPr>
            <w:tcW w:w="1293" w:type="dxa"/>
            <w:tcBorders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kern w:val="0"/>
                <w:sz w:val="22"/>
                <w:szCs w:val="22"/>
                <w:lang w:val="ru-RU" w:eastAsia="ru-RU" w:bidi="ar-SA"/>
              </w:rPr>
              <w:t>Порядковый номер заявки, присвоенный оператором</w:t>
            </w:r>
          </w:p>
        </w:tc>
        <w:tc>
          <w:tcPr>
            <w:tcW w:w="1359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kern w:val="0"/>
                <w:sz w:val="22"/>
                <w:szCs w:val="22"/>
                <w:lang w:val="ru-RU" w:eastAsia="ru-RU" w:bidi="ar-SA"/>
              </w:rPr>
              <w:t>Идентификационный номер заявки, присвоенный оператором,</w:t>
            </w:r>
          </w:p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kern w:val="0"/>
                <w:sz w:val="22"/>
                <w:szCs w:val="22"/>
                <w:lang w:val="ru-RU" w:eastAsia="ru-RU" w:bidi="ar-SA"/>
              </w:rPr>
              <w:t>дата и время регистрации</w:t>
            </w:r>
          </w:p>
        </w:tc>
        <w:tc>
          <w:tcPr>
            <w:tcW w:w="1387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kern w:val="0"/>
                <w:sz w:val="22"/>
                <w:szCs w:val="22"/>
                <w:lang w:val="ru-RU" w:eastAsia="ru-RU" w:bidi="ar-SA"/>
              </w:rPr>
              <w:t>Решение о соответствии или об отклонении заявки</w:t>
            </w:r>
          </w:p>
        </w:tc>
        <w:tc>
          <w:tcPr>
            <w:tcW w:w="2376" w:type="dxa"/>
            <w:tcBorders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kern w:val="0"/>
                <w:sz w:val="22"/>
                <w:szCs w:val="22"/>
                <w:lang w:val="ru-RU" w:eastAsia="ru-RU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kern w:val="0"/>
                <w:sz w:val="22"/>
                <w:szCs w:val="22"/>
                <w:lang w:val="ru-RU" w:eastAsia="ru-RU" w:bidi="ar-SA"/>
              </w:rPr>
              <w:t>Обоснование решения об отклонении заявки</w:t>
            </w:r>
          </w:p>
        </w:tc>
        <w:tc>
          <w:tcPr>
            <w:tcW w:w="1510" w:type="dxa"/>
            <w:tcBorders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kern w:val="0"/>
                <w:sz w:val="22"/>
                <w:szCs w:val="22"/>
                <w:lang w:val="ru-RU" w:eastAsia="ru-RU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kern w:val="0"/>
                <w:sz w:val="22"/>
                <w:szCs w:val="22"/>
                <w:lang w:val="ru-RU" w:eastAsia="ru-RU" w:bidi="ar-SA"/>
              </w:rPr>
              <w:t>Предложение о цене, руб.</w:t>
            </w:r>
          </w:p>
        </w:tc>
        <w:tc>
          <w:tcPr>
            <w:tcW w:w="1140" w:type="dxa"/>
            <w:tcBorders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kern w:val="0"/>
                <w:sz w:val="22"/>
                <w:szCs w:val="22"/>
                <w:lang w:val="ru-RU" w:eastAsia="ru-RU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kern w:val="0"/>
                <w:sz w:val="22"/>
                <w:szCs w:val="22"/>
                <w:lang w:val="ru-RU" w:eastAsia="ru-RU" w:bidi="ar-SA"/>
              </w:rPr>
              <w:t>Снижение цены, %</w:t>
            </w:r>
          </w:p>
        </w:tc>
        <w:tc>
          <w:tcPr>
            <w:tcW w:w="1140" w:type="dxa"/>
            <w:tcBorders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kern w:val="0"/>
                <w:sz w:val="22"/>
                <w:szCs w:val="20"/>
                <w:lang w:val="ru-RU" w:eastAsia="ru-RU" w:bidi="ar-SA"/>
              </w:rPr>
              <w:t>Порядковый номер заявки, присвоенный комиссией по осуществлению закупок</w:t>
            </w:r>
          </w:p>
        </w:tc>
      </w:tr>
      <w:tr>
        <w:trPr>
          <w:trHeight w:val="504" w:hRule="atLeast"/>
        </w:trPr>
        <w:tc>
          <w:tcPr>
            <w:tcW w:w="1293" w:type="dxa"/>
            <w:tcBorders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1</w:t>
            </w:r>
          </w:p>
        </w:tc>
        <w:tc>
          <w:tcPr>
            <w:tcW w:w="1359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1</w:t>
            </w:r>
          </w:p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03.08.2026 23:05:39 (MSK+00:00)</w:t>
            </w:r>
          </w:p>
        </w:tc>
        <w:tc>
          <w:tcPr>
            <w:tcW w:w="1387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Соответствует</w:t>
            </w:r>
          </w:p>
        </w:tc>
        <w:tc>
          <w:tcPr>
            <w:tcW w:w="2376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</w:r>
          </w:p>
        </w:tc>
        <w:tc>
          <w:tcPr>
            <w:tcW w:w="1510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kern w:val="0"/>
                <w:sz w:val="22"/>
                <w:szCs w:val="22"/>
                <w:lang w:val="ru-RU" w:eastAsia="ru-RU" w:bidi="ar-SA"/>
              </w:rPr>
              <w:t>8 700.00</w:t>
            </w:r>
          </w:p>
        </w:tc>
        <w:tc>
          <w:tcPr>
            <w:tcW w:w="1140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kern w:val="0"/>
                <w:sz w:val="22"/>
                <w:szCs w:val="22"/>
                <w:lang w:val="ru-RU" w:eastAsia="ru-RU" w:bidi="ar-SA"/>
              </w:rPr>
              <w:t>- 51.67 %</w:t>
            </w:r>
          </w:p>
        </w:tc>
        <w:tc>
          <w:tcPr>
            <w:tcW w:w="1140" w:type="dxa"/>
            <w:tcBorders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sz w:val="22"/>
                <w:szCs w:val="22"/>
              </w:rPr>
            </w:pPr>
            <w:r>
              <w:rPr>
                <w:kern w:val="0"/>
                <w:sz w:val="22"/>
                <w:szCs w:val="20"/>
                <w:lang w:val="ru-RU" w:eastAsia="ru-RU" w:bidi="ar-SA"/>
              </w:rPr>
              <w:t>1</w:t>
            </w:r>
          </w:p>
        </w:tc>
      </w:tr>
      <w:tr>
        <w:trPr>
          <w:trHeight w:val="504" w:hRule="atLeast"/>
        </w:trPr>
        <w:tc>
          <w:tcPr>
            <w:tcW w:w="1293" w:type="dxa"/>
            <w:tcBorders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2</w:t>
            </w:r>
          </w:p>
        </w:tc>
        <w:tc>
          <w:tcPr>
            <w:tcW w:w="1359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2</w:t>
            </w:r>
          </w:p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03.08.2026 23:05:46 (MSK+00:00)</w:t>
            </w:r>
          </w:p>
        </w:tc>
        <w:tc>
          <w:tcPr>
            <w:tcW w:w="1387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Соответствует</w:t>
            </w:r>
          </w:p>
        </w:tc>
        <w:tc>
          <w:tcPr>
            <w:tcW w:w="2376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</w:r>
          </w:p>
        </w:tc>
        <w:tc>
          <w:tcPr>
            <w:tcW w:w="1510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kern w:val="0"/>
                <w:sz w:val="22"/>
                <w:szCs w:val="22"/>
                <w:lang w:val="ru-RU" w:eastAsia="ru-RU" w:bidi="ar-SA"/>
              </w:rPr>
              <w:t>8 950.00</w:t>
            </w:r>
          </w:p>
        </w:tc>
        <w:tc>
          <w:tcPr>
            <w:tcW w:w="1140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kern w:val="0"/>
                <w:sz w:val="22"/>
                <w:szCs w:val="22"/>
                <w:lang w:val="ru-RU" w:eastAsia="ru-RU" w:bidi="ar-SA"/>
              </w:rPr>
              <w:t>- 50.28 %</w:t>
            </w:r>
          </w:p>
        </w:tc>
        <w:tc>
          <w:tcPr>
            <w:tcW w:w="1140" w:type="dxa"/>
            <w:tcBorders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sz w:val="22"/>
                <w:szCs w:val="22"/>
              </w:rPr>
            </w:pPr>
            <w:r>
              <w:rPr>
                <w:kern w:val="0"/>
                <w:sz w:val="22"/>
                <w:szCs w:val="20"/>
                <w:lang w:val="ru-RU" w:eastAsia="ru-RU" w:bidi="ar-SA"/>
              </w:rPr>
              <w:t>2</w:t>
            </w:r>
          </w:p>
        </w:tc>
      </w:tr>
    </w:tbl>
    <w:p>
      <w:pPr>
        <w:pStyle w:val="ListParagraph"/>
        <w:widowControl w:val="false"/>
        <w:numPr>
          <w:ilvl w:val="0"/>
          <w:numId w:val="1"/>
        </w:numPr>
        <w:spacing w:lineRule="auto" w:line="240" w:before="60" w:after="0"/>
        <w:ind w:hanging="0" w:left="0"/>
        <w:contextualSpacing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</w:p>
    <w:tbl>
      <w:tblPr>
        <w:tblW w:w="5000" w:type="pct"/>
        <w:jc w:val="left"/>
        <w:tblInd w:w="0" w:type="dxa"/>
        <w:tblLayout w:type="fixed"/>
        <w:tblCellMar>
          <w:top w:w="0" w:type="dxa"/>
          <w:left w:w="1" w:type="dxa"/>
          <w:bottom w:w="0" w:type="dxa"/>
          <w:right w:w="1" w:type="dxa"/>
        </w:tblCellMar>
      </w:tblPr>
      <w:tblGrid>
        <w:gridCol w:w="5031"/>
        <w:gridCol w:w="5031"/>
      </w:tblGrid>
      <w:tr>
        <w:trPr/>
        <w:tc>
          <w:tcPr>
            <w:tcW w:w="50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spacing w:before="0" w:after="200"/>
              <w:jc w:val="center"/>
              <w:rPr/>
            </w:pPr>
            <w:r>
              <w:rPr>
                <w:b/>
                <w:bCs/>
              </w:rPr>
              <w:t>Фамилия, имя, отчество</w:t>
            </w:r>
          </w:p>
        </w:tc>
        <w:tc>
          <w:tcPr>
            <w:tcW w:w="50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spacing w:before="0" w:after="200"/>
              <w:jc w:val="center"/>
              <w:rPr/>
            </w:pPr>
            <w:r>
              <w:rPr>
                <w:b/>
                <w:bCs/>
              </w:rPr>
              <w:t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50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Идентификационный номер заявки: 1</w:t>
            </w:r>
          </w:p>
        </w:tc>
        <w:tc>
          <w:tcPr>
            <w:tcW w:w="50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50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Мананникова Эльвира Евгеньевна</w:t>
            </w:r>
          </w:p>
        </w:tc>
        <w:tc>
          <w:tcPr>
            <w:tcW w:w="50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Соответствует</w:t>
            </w:r>
          </w:p>
        </w:tc>
      </w:tr>
      <w:tr>
        <w:trPr/>
        <w:tc>
          <w:tcPr>
            <w:tcW w:w="50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Шубина Татьяна Павловна</w:t>
            </w:r>
          </w:p>
        </w:tc>
        <w:tc>
          <w:tcPr>
            <w:tcW w:w="50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Соответствует</w:t>
            </w:r>
          </w:p>
        </w:tc>
      </w:tr>
      <w:tr>
        <w:trPr/>
        <w:tc>
          <w:tcPr>
            <w:tcW w:w="50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Идентификационный номер заявки: 2</w:t>
            </w:r>
          </w:p>
        </w:tc>
        <w:tc>
          <w:tcPr>
            <w:tcW w:w="50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50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Мананникова Эльвира Евгеньевна</w:t>
            </w:r>
          </w:p>
        </w:tc>
        <w:tc>
          <w:tcPr>
            <w:tcW w:w="50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Соответствует</w:t>
            </w:r>
          </w:p>
        </w:tc>
      </w:tr>
      <w:tr>
        <w:trPr/>
        <w:tc>
          <w:tcPr>
            <w:tcW w:w="50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Шубина Татьяна Павловна</w:t>
            </w:r>
          </w:p>
        </w:tc>
        <w:tc>
          <w:tcPr>
            <w:tcW w:w="50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Соответствует</w:t>
            </w:r>
          </w:p>
        </w:tc>
      </w:tr>
    </w:tbl>
    <w:p>
      <w:pPr>
        <w:pStyle w:val="ListParagraph"/>
        <w:keepNext w:val="true"/>
        <w:widowControl w:val="false"/>
        <w:numPr>
          <w:ilvl w:val="0"/>
          <w:numId w:val="1"/>
        </w:numPr>
        <w:spacing w:lineRule="auto" w:line="240" w:before="60" w:after="0"/>
        <w:contextualSpacing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Информация о присвоенных заявкам на участие в электронном запросе котировок, которые не отклонены по основаниям, предусмотренным пунктами 1 - 8 части 12 статьи 48 Федерального закона №44-ФЗ, порядковых номеров:</w:t>
      </w:r>
    </w:p>
    <w:tbl>
      <w:tblPr>
        <w:tblW w:w="10128" w:type="dxa"/>
        <w:jc w:val="left"/>
        <w:tblInd w:w="-5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0" w:noVBand="1" w:lastRow="0" w:firstColumn="0" w:lastColumn="0" w:noHBand="0" w:val="0400"/>
      </w:tblPr>
      <w:tblGrid>
        <w:gridCol w:w="1559"/>
        <w:gridCol w:w="1702"/>
        <w:gridCol w:w="4523"/>
        <w:gridCol w:w="2343"/>
      </w:tblGrid>
      <w:tr>
        <w:trPr>
          <w:trHeight w:val="915" w:hRule="atLeast"/>
        </w:trPr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b/>
              </w:rPr>
            </w:pPr>
            <w:r>
              <w:rPr>
                <w:rFonts w:eastAsia="Times New Roman"/>
                <w:b/>
                <w:bCs/>
              </w:rPr>
              <w:t>Порядковый номер заявки, присвоенный оператором</w:t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>присвоенный оператором</w:t>
            </w:r>
          </w:p>
        </w:tc>
        <w:tc>
          <w:tcPr>
            <w:tcW w:w="4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>Порядковый номер заявки, присвоенный комиссией по осуществлению закупок</w:t>
            </w:r>
          </w:p>
        </w:tc>
        <w:tc>
          <w:tcPr>
            <w:tcW w:w="2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>Предложение о цене</w:t>
            </w:r>
          </w:p>
        </w:tc>
      </w:tr>
      <w:tr>
        <w:trPr>
          <w:trHeight w:val="787" w:hRule="atLeast"/>
        </w:trPr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lang w:val="en-US"/>
              </w:rPr>
            </w:pPr>
            <w:r>
              <w:rPr/>
              <w:t>1</w:t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true"/>
              <w:widowControl w:val="false"/>
              <w:spacing w:before="60" w:after="200"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</w:t>
            </w:r>
          </w:p>
        </w:tc>
        <w:tc>
          <w:tcPr>
            <w:tcW w:w="4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before="0" w:after="0"/>
              <w:jc w:val="center"/>
              <w:rPr/>
            </w:pPr>
            <w:r>
              <w:rPr>
                <w:iCs/>
              </w:rPr>
              <w:t>1</w:t>
            </w:r>
          </w:p>
        </w:tc>
        <w:tc>
          <w:tcPr>
            <w:tcW w:w="2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iCs/>
                <w:lang w:eastAsia="ru-RU"/>
              </w:rPr>
              <w:t>8 700.00</w:t>
            </w:r>
          </w:p>
        </w:tc>
      </w:tr>
      <w:tr>
        <w:trPr>
          <w:trHeight w:val="787" w:hRule="atLeast"/>
        </w:trPr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lang w:val="en-US"/>
              </w:rPr>
            </w:pPr>
            <w:r>
              <w:rPr/>
              <w:t>2</w:t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true"/>
              <w:widowControl w:val="false"/>
              <w:spacing w:before="60" w:after="200"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2</w:t>
            </w:r>
          </w:p>
        </w:tc>
        <w:tc>
          <w:tcPr>
            <w:tcW w:w="4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before="0" w:after="0"/>
              <w:jc w:val="center"/>
              <w:rPr/>
            </w:pPr>
            <w:r>
              <w:rPr>
                <w:iCs/>
              </w:rPr>
              <w:t>2</w:t>
            </w:r>
          </w:p>
        </w:tc>
        <w:tc>
          <w:tcPr>
            <w:tcW w:w="2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iCs/>
                <w:lang w:eastAsia="ru-RU"/>
              </w:rPr>
              <w:t>8 950.00</w:t>
            </w:r>
          </w:p>
        </w:tc>
      </w:tr>
    </w:tbl>
    <w:p>
      <w:pPr>
        <w:pStyle w:val="ListParagraph"/>
        <w:keepNext w:val="true"/>
        <w:widowControl w:val="false"/>
        <w:numPr>
          <w:ilvl w:val="0"/>
          <w:numId w:val="1"/>
        </w:numPr>
        <w:spacing w:lineRule="auto" w:line="240" w:before="60" w:after="0"/>
        <w:contextualSpacing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 основании п.2 ч.3 ст.50 Федерального закона № 44-ФЗ настоящий протокол подведения итогов</w:t>
      </w:r>
      <w:r>
        <w:rPr/>
        <w:t xml:space="preserve"> </w:t>
      </w:r>
      <w:r>
        <w:rPr>
          <w:rFonts w:eastAsia="Times New Roman"/>
          <w:lang w:eastAsia="ru-RU"/>
        </w:rPr>
        <w:t>определения поставщика (подрядчика, исполнителя) сформирован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электронной торговой площадки «Фабрикант» по адресу в сети «Интернет»: http</w:t>
      </w:r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 xml:space="preserve">://44.fabrikant.ru и на сайте Единой информационной системы в сфере закупок (ЕИС) по адресу в сети «Интернет»: </w:t>
      </w:r>
      <w:hyperlink r:id="rId2">
        <w:r>
          <w:rPr>
            <w:rStyle w:val="Hyperlink"/>
            <w:rFonts w:eastAsia="Times New Roman"/>
            <w:lang w:eastAsia="ru-RU"/>
          </w:rPr>
          <w:t>http://zakupki.gov.ru</w:t>
        </w:r>
      </w:hyperlink>
      <w:r>
        <w:rPr>
          <w:rFonts w:eastAsia="Times New Roman"/>
          <w:lang w:eastAsia="ru-RU"/>
        </w:rPr>
        <w:t>.</w:t>
      </w:r>
    </w:p>
    <w:p>
      <w:pPr>
        <w:pStyle w:val="ListParagraph"/>
        <w:widowControl w:val="false"/>
        <w:spacing w:lineRule="auto" w:line="240" w:before="60" w:after="0"/>
        <w:contextualSpacing/>
        <w:rPr>
          <w:rFonts w:eastAsia="Times New Roman"/>
          <w:lang w:eastAsia="ru-RU"/>
        </w:rPr>
      </w:pPr>
      <w:r>
        <w:rPr/>
      </w:r>
    </w:p>
    <w:p>
      <w:pPr>
        <w:pStyle w:val="ListParagraph"/>
        <w:widowControl w:val="false"/>
        <w:spacing w:lineRule="auto" w:line="240" w:before="60" w:after="0"/>
        <w:contextualSpacing/>
        <w:rPr>
          <w:rFonts w:eastAsia="Times New Roman"/>
          <w:lang w:eastAsia="ru-RU"/>
        </w:rPr>
      </w:pPr>
      <w:r>
        <w:rPr/>
      </w:r>
    </w:p>
    <w:p>
      <w:pPr>
        <w:pStyle w:val="Normal"/>
        <w:spacing w:lineRule="atLeast" w:line="0" w:before="0" w:after="0"/>
        <w:ind w:firstLine="567" w:left="0" w:right="0"/>
        <w:jc w:val="both"/>
        <w:rPr/>
      </w:pPr>
      <w:r>
        <w:rPr>
          <w:rFonts w:eastAsia="Times New Roman" w:cs="Times New Roman" w:ascii="Times New Roman" w:hAnsi="Times New Roman"/>
          <w:b/>
          <w:color w:val="auto"/>
          <w:kern w:val="2"/>
          <w:sz w:val="24"/>
          <w:szCs w:val="24"/>
          <w:lang w:eastAsia="ru-RU" w:bidi="ru-RU"/>
        </w:rPr>
        <w:t>Члены комиссии по осуществлению закупок, присутствующие на заседании:</w:t>
      </w:r>
      <w:r>
        <w:rPr>
          <w:rFonts w:eastAsia="Times New Roman" w:cs="Times New Roman" w:ascii="Times New Roman" w:hAnsi="Times New Roman"/>
          <w:b w:val="false"/>
          <w:color w:val="auto"/>
          <w:kern w:val="2"/>
          <w:sz w:val="24"/>
          <w:szCs w:val="24"/>
          <w:lang w:eastAsia="ru-RU" w:bidi="ru-RU"/>
        </w:rPr>
        <w:t xml:space="preserve"> </w:t>
      </w:r>
      <w:r>
        <w:rPr/>
        <w:br/>
      </w:r>
    </w:p>
    <w:tbl>
      <w:tblPr>
        <w:tblW w:w="10227" w:type="dxa"/>
        <w:jc w:val="left"/>
        <w:tblInd w:w="36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3385"/>
        <w:gridCol w:w="3421"/>
        <w:gridCol w:w="3421"/>
      </w:tblGrid>
      <w:tr>
        <w:trPr>
          <w:trHeight w:val="567" w:hRule="atLeast"/>
        </w:trPr>
        <w:tc>
          <w:tcPr>
            <w:tcW w:w="3385" w:type="dxa"/>
            <w:tcBorders/>
            <w:vAlign w:val="center"/>
          </w:tcPr>
          <w:p>
            <w:pPr>
              <w:pStyle w:val="Normal"/>
              <w:tabs>
                <w:tab w:val="clear" w:pos="7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b/>
              </w:rPr>
            </w:pPr>
            <w:r>
              <w:rPr>
                <w:rFonts w:eastAsia="Times New Roman" w:cs="Times New Roman" w:ascii="Times New Roman" w:hAnsi="Times New Roman"/>
                <w:b/>
              </w:rPr>
              <w:t>Председатель комиссии:</w:t>
            </w:r>
          </w:p>
        </w:tc>
        <w:tc>
          <w:tcPr>
            <w:tcW w:w="3421" w:type="dxa"/>
            <w:tcBorders/>
            <w:vAlign w:val="center"/>
          </w:tcPr>
          <w:p>
            <w:pPr>
              <w:pStyle w:val="Normal"/>
              <w:tabs>
                <w:tab w:val="clear" w:pos="7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b w:val="false"/>
              </w:rPr>
            </w:pPr>
            <w:r>
              <w:rPr>
                <w:rFonts w:eastAsia="Times New Roman" w:cs="Times New Roman" w:ascii="Times New Roman" w:hAnsi="Times New Roman"/>
                <w:b w:val="false"/>
              </w:rPr>
              <w:t>__________________________</w:t>
            </w:r>
          </w:p>
        </w:tc>
        <w:tc>
          <w:tcPr>
            <w:tcW w:w="3421" w:type="dxa"/>
            <w:tcBorders/>
            <w:vAlign w:val="center"/>
          </w:tcPr>
          <w:p>
            <w:pPr>
              <w:pStyle w:val="Normal"/>
              <w:tabs>
                <w:tab w:val="clear" w:pos="7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b/>
              </w:rPr>
            </w:pPr>
            <w:r>
              <w:rPr>
                <w:rFonts w:eastAsia="Times New Roman" w:cs="Times New Roman" w:ascii="Times New Roman" w:hAnsi="Times New Roman"/>
                <w:b/>
              </w:rPr>
              <w:t>/Мананникова Эльвира Евгеньевна/</w:t>
            </w:r>
          </w:p>
        </w:tc>
      </w:tr>
      <w:tr>
        <w:trPr>
          <w:trHeight w:val="567" w:hRule="atLeast"/>
        </w:trPr>
        <w:tc>
          <w:tcPr>
            <w:tcW w:w="3385" w:type="dxa"/>
            <w:tcBorders/>
            <w:vAlign w:val="center"/>
          </w:tcPr>
          <w:p>
            <w:pPr>
              <w:pStyle w:val="Normal"/>
              <w:tabs>
                <w:tab w:val="clear" w:pos="7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b/>
              </w:rPr>
            </w:pPr>
            <w:r>
              <w:rPr>
                <w:rFonts w:eastAsia="Times New Roman" w:cs="Times New Roman" w:ascii="Times New Roman" w:hAnsi="Times New Roman"/>
                <w:b/>
              </w:rPr>
              <w:t>Член комиссии:</w:t>
            </w:r>
          </w:p>
        </w:tc>
        <w:tc>
          <w:tcPr>
            <w:tcW w:w="3421" w:type="dxa"/>
            <w:tcBorders/>
            <w:vAlign w:val="center"/>
          </w:tcPr>
          <w:p>
            <w:pPr>
              <w:pStyle w:val="Normal"/>
              <w:tabs>
                <w:tab w:val="clear" w:pos="7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b w:val="false"/>
              </w:rPr>
            </w:pPr>
            <w:r>
              <w:rPr>
                <w:rFonts w:eastAsia="Times New Roman" w:cs="Times New Roman" w:ascii="Times New Roman" w:hAnsi="Times New Roman"/>
                <w:b w:val="false"/>
              </w:rPr>
              <w:t>__________________________</w:t>
            </w:r>
          </w:p>
        </w:tc>
        <w:tc>
          <w:tcPr>
            <w:tcW w:w="3421" w:type="dxa"/>
            <w:tcBorders/>
            <w:vAlign w:val="center"/>
          </w:tcPr>
          <w:p>
            <w:pPr>
              <w:pStyle w:val="Normal"/>
              <w:tabs>
                <w:tab w:val="clear" w:pos="7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b/>
              </w:rPr>
            </w:pPr>
            <w:r>
              <w:rPr>
                <w:rFonts w:eastAsia="Times New Roman" w:cs="Times New Roman" w:ascii="Times New Roman" w:hAnsi="Times New Roman"/>
                <w:b/>
              </w:rPr>
              <w:t>/Шубина Татьяна Павловна/</w:t>
            </w:r>
          </w:p>
        </w:tc>
      </w:tr>
    </w:tbl>
    <w:p>
      <w:pPr>
        <w:pStyle w:val="Normal"/>
        <w:spacing w:lineRule="atLeast" w:line="0" w:before="0" w:after="0"/>
        <w:ind w:firstLine="567" w:left="0" w:right="0"/>
        <w:jc w:val="both"/>
        <w:rPr>
          <w:rFonts w:eastAsia="Times New Roman"/>
          <w:lang w:eastAsia="ru-RU"/>
        </w:rPr>
      </w:pPr>
      <w:r>
        <w:rPr>
          <w:rFonts w:ascii="Times New Roman" w:hAnsi="Times New Roman"/>
          <w:sz w:val="24"/>
          <w:szCs w:val="24"/>
        </w:rPr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АДМИНИСТРАЦИЯ ГОРОДА МИЧУРИНСКА ТАМБОВСКОЙ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Мананникова Эльвира Евгеньевна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4E:71:5C:E6:63:73:C0:00:AD:05:34:5F:D9:D5:AE:A3, действителен с 18.11.2025 12:49:16 по 11.02.2027 12:49:16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05.08.2026 09:24:40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АДМИНИСТРАЦИЯ ГОРОДА МИЧУРИНСКА ТАМБОВСКОЙ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Шубина Татьяна Павловна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00:F2:C2:E9:38:C7:B9:77:7D:14:C8:0C:A9:05:65:98:F4, действителен с 24.11.2025 11:39:46 по 17.02.2027 11:39:46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05.08.2026 09:25:24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АДМИНИСТРАЦИЯ ГОРОДА МИЧУРИНСКА ТАМБОВСКОЙ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ХАРНИКОВ МАКСИМ ВИКТОРОВИЧ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00:93:97:45:83:A1:B2:89:D4:C9:86:43:BD:45:61:1A:F6, действителен с 18.11.2025 12:58:02 по 11.02.2027 12:58:02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05.08.2026 09:25:46 МСК</w:t>
      </w:r>
    </w:p>
    <w:sectPr>
      <w:type w:val="nextPage"/>
      <w:pgSz w:w="11906" w:h="16838"/>
      <w:pgMar w:left="993" w:right="850" w:gutter="0" w:header="0" w:top="1134" w:footer="0" w:bottom="1134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auto"/>
    <w:pitch w:val="variable"/>
  </w:font>
  <w:font w:name="Arial">
    <w:charset w:val="cc"/>
    <w:family w:val="auto"/>
    <w:pitch w:val="variable"/>
  </w:font>
  <w:font w:name="Liberation Sans">
    <w:altName w:val="Arial"/>
    <w:charset w:val="cc"/>
    <w:family w:val="swiss"/>
    <w:pitch w:val="variable"/>
  </w:font>
  <w:font w:name="Calibri">
    <w:charset w:val="cc"/>
    <w:family w:val="auto"/>
    <w:pitch w:val="variable"/>
  </w:font>
  <w:font w:name="Times New Roman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isLgl/>
      <w:numFmt w:val="decimal"/>
      <w:lvlText w:val="%1."/>
      <w:lvlJc w:val="left"/>
      <w:pPr>
        <w:tabs>
          <w:tab w:val="num" w:pos="0"/>
        </w:tabs>
        <w:ind w:left="357" w:hanging="357"/>
      </w:pPr>
      <w:rPr>
        <w:color w:val="auto"/>
      </w:rPr>
    </w:lvl>
    <w:lvl w:ilvl="1">
      <w:start w:val="1"/>
      <w:isLgl/>
      <w:numFmt w:val="lowerLetter"/>
      <w:lvlText w:val="%2."/>
      <w:lvlJc w:val="left"/>
      <w:pPr>
        <w:tabs>
          <w:tab w:val="num" w:pos="0"/>
        </w:tabs>
        <w:ind w:left="1440" w:hanging="360"/>
      </w:pPr>
      <w:rPr/>
    </w:lvl>
    <w:lvl w:ilvl="2">
      <w:start w:val="1"/>
      <w:isLgl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isLgl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isLgl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isLgl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isLgl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isLgl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isLgl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 w:eastAsia="zh-CN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Arial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bidi w:val="0"/>
      <w:spacing w:lineRule="auto" w:line="276" w:beforeAutospacing="0" w:before="0" w:afterAutospacing="0" w:after="200"/>
      <w:jc w:val="both"/>
    </w:pPr>
    <w:rPr>
      <w:rFonts w:ascii="Times New Roman" w:hAnsi="Times New Roman" w:eastAsia="Calibri" w:cs="Times New Roman" w:eastAsiaTheme="minorHAnsi"/>
      <w:color w:val="auto"/>
      <w:kern w:val="0"/>
      <w:sz w:val="22"/>
      <w:szCs w:val="22"/>
      <w:lang w:val="ru-RU" w:eastAsia="en-US" w:bidi="ar-SA"/>
    </w:rPr>
  </w:style>
  <w:style w:type="paragraph" w:styleId="Heading1">
    <w:name w:val="heading 1"/>
    <w:basedOn w:val="Normal"/>
    <w:uiPriority w:val="9"/>
    <w:qFormat/>
    <w:pPr>
      <w:keepNext w:val="true"/>
      <w:keepLines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paragraph" w:styleId="Heading2">
    <w:name w:val="heading 2"/>
    <w:basedOn w:val="Normal"/>
    <w:uiPriority w:val="9"/>
    <w:unhideWhenUsed/>
    <w:qFormat/>
    <w:pPr>
      <w:keepNext w:val="true"/>
      <w:keepLines/>
      <w:spacing w:before="360" w:after="200"/>
      <w:outlineLvl w:val="1"/>
    </w:pPr>
    <w:rPr>
      <w:rFonts w:ascii="Arial" w:hAnsi="Arial" w:eastAsia="Arial" w:cs="Arial"/>
      <w:sz w:val="34"/>
    </w:rPr>
  </w:style>
  <w:style w:type="paragraph" w:styleId="Heading3">
    <w:name w:val="heading 3"/>
    <w:basedOn w:val="Normal"/>
    <w:uiPriority w:val="9"/>
    <w:unhideWhenUsed/>
    <w:qFormat/>
    <w:pPr>
      <w:keepNext w:val="true"/>
      <w:keepLines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paragraph" w:styleId="Heading4">
    <w:name w:val="heading 4"/>
    <w:basedOn w:val="Normal"/>
    <w:uiPriority w:val="9"/>
    <w:unhideWhenUsed/>
    <w:qFormat/>
    <w:pPr>
      <w:keepNext w:val="true"/>
      <w:keepLines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Heading5">
    <w:name w:val="heading 5"/>
    <w:basedOn w:val="Normal"/>
    <w:uiPriority w:val="9"/>
    <w:unhideWhenUsed/>
    <w:qFormat/>
    <w:pPr>
      <w:keepNext w:val="true"/>
      <w:keepLines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Heading6">
    <w:name w:val="heading 6"/>
    <w:basedOn w:val="Normal"/>
    <w:uiPriority w:val="9"/>
    <w:unhideWhenUsed/>
    <w:qFormat/>
    <w:pPr>
      <w:keepNext w:val="true"/>
      <w:keepLines/>
      <w:spacing w:before="320" w:after="200"/>
      <w:outlineLvl w:val="5"/>
    </w:pPr>
    <w:rPr>
      <w:rFonts w:ascii="Arial" w:hAnsi="Arial" w:eastAsia="Arial" w:cs="Arial"/>
      <w:b/>
      <w:bCs/>
    </w:rPr>
  </w:style>
  <w:style w:type="paragraph" w:styleId="Heading7">
    <w:name w:val="heading 7"/>
    <w:basedOn w:val="Normal"/>
    <w:uiPriority w:val="9"/>
    <w:unhideWhenUsed/>
    <w:qFormat/>
    <w:pPr>
      <w:keepNext w:val="true"/>
      <w:keepLines/>
      <w:spacing w:before="320" w:after="200"/>
      <w:outlineLvl w:val="6"/>
    </w:pPr>
    <w:rPr>
      <w:rFonts w:ascii="Arial" w:hAnsi="Arial" w:eastAsia="Arial" w:cs="Arial"/>
      <w:b/>
      <w:bCs/>
      <w:i/>
      <w:iCs/>
    </w:rPr>
  </w:style>
  <w:style w:type="paragraph" w:styleId="Heading8">
    <w:name w:val="heading 8"/>
    <w:basedOn w:val="Normal"/>
    <w:uiPriority w:val="9"/>
    <w:unhideWhenUsed/>
    <w:qFormat/>
    <w:pPr>
      <w:keepNext w:val="true"/>
      <w:keepLines/>
      <w:spacing w:before="320" w:after="200"/>
      <w:outlineLvl w:val="7"/>
    </w:pPr>
    <w:rPr>
      <w:rFonts w:ascii="Arial" w:hAnsi="Arial" w:eastAsia="Arial" w:cs="Arial"/>
      <w:i/>
      <w:iCs/>
    </w:rPr>
  </w:style>
  <w:style w:type="paragraph" w:styleId="Heading9">
    <w:name w:val="heading 9"/>
    <w:basedOn w:val="Normal"/>
    <w:uiPriority w:val="9"/>
    <w:unhideWhenUsed/>
    <w:qFormat/>
    <w:pPr>
      <w:keepNext w:val="true"/>
      <w:keepLines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Heading1Char">
    <w:name w:val="Heading 1 Char"/>
    <w:basedOn w:val="DefaultParagraphFont"/>
    <w:uiPriority w:val="9"/>
    <w:qFormat/>
    <w:rPr>
      <w:rFonts w:ascii="Arial" w:hAnsi="Arial" w:eastAsia="Arial" w:cs="Arial"/>
      <w:sz w:val="40"/>
      <w:szCs w:val="40"/>
    </w:rPr>
  </w:style>
  <w:style w:type="character" w:styleId="Heading2Char">
    <w:name w:val="Heading 2 Char"/>
    <w:basedOn w:val="DefaultParagraphFont"/>
    <w:uiPriority w:val="9"/>
    <w:qFormat/>
    <w:rPr>
      <w:rFonts w:ascii="Arial" w:hAnsi="Arial" w:eastAsia="Arial" w:cs="Arial"/>
      <w:sz w:val="34"/>
    </w:rPr>
  </w:style>
  <w:style w:type="character" w:styleId="Heading3Char">
    <w:name w:val="Heading 3 Char"/>
    <w:basedOn w:val="DefaultParagraphFont"/>
    <w:uiPriority w:val="9"/>
    <w:qFormat/>
    <w:rPr>
      <w:rFonts w:ascii="Arial" w:hAnsi="Arial" w:eastAsia="Arial" w:cs="Arial"/>
      <w:sz w:val="30"/>
      <w:szCs w:val="30"/>
    </w:rPr>
  </w:style>
  <w:style w:type="character" w:styleId="Heading4Char">
    <w:name w:val="Heading 4 Char"/>
    <w:basedOn w:val="DefaultParagraphFont"/>
    <w:uiPriority w:val="9"/>
    <w:qFormat/>
    <w:rPr>
      <w:rFonts w:ascii="Arial" w:hAnsi="Arial" w:eastAsia="Arial" w:cs="Arial"/>
      <w:b/>
      <w:bCs/>
      <w:sz w:val="26"/>
      <w:szCs w:val="26"/>
    </w:rPr>
  </w:style>
  <w:style w:type="character" w:styleId="Heading5Char">
    <w:name w:val="Heading 5 Char"/>
    <w:basedOn w:val="DefaultParagraphFont"/>
    <w:uiPriority w:val="9"/>
    <w:qFormat/>
    <w:rPr>
      <w:rFonts w:ascii="Arial" w:hAnsi="Arial" w:eastAsia="Arial" w:cs="Arial"/>
      <w:b/>
      <w:bCs/>
      <w:sz w:val="24"/>
      <w:szCs w:val="24"/>
    </w:rPr>
  </w:style>
  <w:style w:type="character" w:styleId="Heading6Char">
    <w:name w:val="Heading 6 Char"/>
    <w:basedOn w:val="DefaultParagraphFont"/>
    <w:uiPriority w:val="9"/>
    <w:qFormat/>
    <w:rPr>
      <w:rFonts w:ascii="Arial" w:hAnsi="Arial" w:eastAsia="Arial" w:cs="Arial"/>
      <w:b/>
      <w:bCs/>
      <w:sz w:val="22"/>
      <w:szCs w:val="22"/>
    </w:rPr>
  </w:style>
  <w:style w:type="character" w:styleId="Heading7Char">
    <w:name w:val="Heading 7 Char"/>
    <w:basedOn w:val="DefaultParagraphFont"/>
    <w:uiPriority w:val="9"/>
    <w:qFormat/>
    <w:rPr>
      <w:rFonts w:ascii="Arial" w:hAnsi="Arial" w:eastAsia="Arial" w:cs="Arial"/>
      <w:b/>
      <w:bCs/>
      <w:i/>
      <w:iCs/>
      <w:sz w:val="22"/>
      <w:szCs w:val="22"/>
    </w:rPr>
  </w:style>
  <w:style w:type="character" w:styleId="Heading8Char">
    <w:name w:val="Heading 8 Char"/>
    <w:basedOn w:val="DefaultParagraphFont"/>
    <w:uiPriority w:val="9"/>
    <w:qFormat/>
    <w:rPr>
      <w:rFonts w:ascii="Arial" w:hAnsi="Arial" w:eastAsia="Arial" w:cs="Arial"/>
      <w:i/>
      <w:iCs/>
      <w:sz w:val="22"/>
      <w:szCs w:val="22"/>
    </w:rPr>
  </w:style>
  <w:style w:type="character" w:styleId="Heading9Char">
    <w:name w:val="Heading 9 Char"/>
    <w:basedOn w:val="DefaultParagraphFont"/>
    <w:uiPriority w:val="9"/>
    <w:qFormat/>
    <w:rPr>
      <w:rFonts w:ascii="Arial" w:hAnsi="Arial" w:eastAsia="Arial" w:cs="Arial"/>
      <w:i/>
      <w:iCs/>
      <w:sz w:val="21"/>
      <w:szCs w:val="21"/>
    </w:rPr>
  </w:style>
  <w:style w:type="character" w:styleId="TitleChar">
    <w:name w:val="Title Char"/>
    <w:basedOn w:val="DefaultParagraphFont"/>
    <w:uiPriority w:val="10"/>
    <w:qFormat/>
    <w:rPr>
      <w:sz w:val="48"/>
      <w:szCs w:val="48"/>
    </w:rPr>
  </w:style>
  <w:style w:type="character" w:styleId="SubtitleChar">
    <w:name w:val="Subtitle Char"/>
    <w:basedOn w:val="DefaultParagraphFont"/>
    <w:uiPriority w:val="11"/>
    <w:qFormat/>
    <w:rPr>
      <w:sz w:val="24"/>
      <w:szCs w:val="24"/>
    </w:rPr>
  </w:style>
  <w:style w:type="character" w:styleId="QuoteChar">
    <w:name w:val="Quote Char"/>
    <w:uiPriority w:val="29"/>
    <w:qFormat/>
    <w:rPr>
      <w:i/>
    </w:rPr>
  </w:style>
  <w:style w:type="character" w:styleId="IntenseQuoteChar">
    <w:name w:val="Intense Quote Char"/>
    <w:uiPriority w:val="30"/>
    <w:qFormat/>
    <w:rPr>
      <w:i/>
    </w:rPr>
  </w:style>
  <w:style w:type="character" w:styleId="HeaderChar">
    <w:name w:val="Header Char"/>
    <w:basedOn w:val="DefaultParagraphFont"/>
    <w:uiPriority w:val="99"/>
    <w:qFormat/>
    <w:rPr/>
  </w:style>
  <w:style w:type="character" w:styleId="CaptionChar">
    <w:name w:val="Caption Char"/>
    <w:uiPriority w:val="99"/>
    <w:qFormat/>
    <w:rPr/>
  </w:style>
  <w:style w:type="character" w:styleId="FootnoteTextChar">
    <w:name w:val="Footnote Text Char"/>
    <w:uiPriority w:val="99"/>
    <w:qFormat/>
    <w:rPr>
      <w:sz w:val="18"/>
    </w:rPr>
  </w:style>
  <w:style w:type="character" w:styleId="EndnoteTextChar">
    <w:name w:val="Endnote Text Char"/>
    <w:uiPriority w:val="99"/>
    <w:qFormat/>
    <w:rPr>
      <w:sz w:val="20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1" w:customStyle="1">
    <w:name w:val="Заголовок 1 Знак"/>
    <w:basedOn w:val="DefaultParagraphFont"/>
    <w:uiPriority w:val="9"/>
    <w:qFormat/>
    <w:rPr>
      <w:rFonts w:ascii="Arial" w:hAnsi="Arial" w:eastAsia="Arial" w:cs="Arial"/>
      <w:sz w:val="40"/>
      <w:szCs w:val="40"/>
    </w:rPr>
  </w:style>
  <w:style w:type="character" w:styleId="2" w:customStyle="1">
    <w:name w:val="Заголовок 2 Знак"/>
    <w:basedOn w:val="DefaultParagraphFont"/>
    <w:uiPriority w:val="9"/>
    <w:qFormat/>
    <w:rPr>
      <w:rFonts w:ascii="Arial" w:hAnsi="Arial" w:eastAsia="Arial" w:cs="Arial"/>
      <w:sz w:val="34"/>
    </w:rPr>
  </w:style>
  <w:style w:type="character" w:styleId="3" w:customStyle="1">
    <w:name w:val="Заголовок 3 Знак"/>
    <w:basedOn w:val="DefaultParagraphFont"/>
    <w:uiPriority w:val="9"/>
    <w:qFormat/>
    <w:rPr>
      <w:rFonts w:ascii="Arial" w:hAnsi="Arial" w:eastAsia="Arial" w:cs="Arial"/>
      <w:sz w:val="30"/>
      <w:szCs w:val="30"/>
    </w:rPr>
  </w:style>
  <w:style w:type="character" w:styleId="4" w:customStyle="1">
    <w:name w:val="Заголовок 4 Знак"/>
    <w:basedOn w:val="DefaultParagraphFont"/>
    <w:uiPriority w:val="9"/>
    <w:qFormat/>
    <w:rPr>
      <w:rFonts w:ascii="Arial" w:hAnsi="Arial" w:eastAsia="Arial" w:cs="Arial"/>
      <w:b/>
      <w:bCs/>
      <w:sz w:val="26"/>
      <w:szCs w:val="26"/>
    </w:rPr>
  </w:style>
  <w:style w:type="character" w:styleId="5" w:customStyle="1">
    <w:name w:val="Заголовок 5 Знак"/>
    <w:basedOn w:val="DefaultParagraphFont"/>
    <w:uiPriority w:val="9"/>
    <w:qFormat/>
    <w:rPr>
      <w:rFonts w:ascii="Arial" w:hAnsi="Arial" w:eastAsia="Arial" w:cs="Arial"/>
      <w:b/>
      <w:bCs/>
      <w:sz w:val="24"/>
      <w:szCs w:val="24"/>
    </w:rPr>
  </w:style>
  <w:style w:type="character" w:styleId="6" w:customStyle="1">
    <w:name w:val="Заголовок 6 Знак"/>
    <w:basedOn w:val="DefaultParagraphFont"/>
    <w:uiPriority w:val="9"/>
    <w:qFormat/>
    <w:rPr>
      <w:rFonts w:ascii="Arial" w:hAnsi="Arial" w:eastAsia="Arial" w:cs="Arial"/>
      <w:b/>
      <w:bCs/>
      <w:sz w:val="22"/>
      <w:szCs w:val="22"/>
    </w:rPr>
  </w:style>
  <w:style w:type="character" w:styleId="7" w:customStyle="1">
    <w:name w:val="Заголовок 7 Знак"/>
    <w:basedOn w:val="DefaultParagraphFont"/>
    <w:uiPriority w:val="9"/>
    <w:qFormat/>
    <w:rPr>
      <w:rFonts w:ascii="Arial" w:hAnsi="Arial" w:eastAsia="Arial" w:cs="Arial"/>
      <w:b/>
      <w:bCs/>
      <w:i/>
      <w:iCs/>
      <w:sz w:val="22"/>
      <w:szCs w:val="22"/>
    </w:rPr>
  </w:style>
  <w:style w:type="character" w:styleId="8" w:customStyle="1">
    <w:name w:val="Заголовок 8 Знак"/>
    <w:basedOn w:val="DefaultParagraphFont"/>
    <w:uiPriority w:val="9"/>
    <w:qFormat/>
    <w:rPr>
      <w:rFonts w:ascii="Arial" w:hAnsi="Arial" w:eastAsia="Arial" w:cs="Arial"/>
      <w:i/>
      <w:iCs/>
      <w:sz w:val="22"/>
      <w:szCs w:val="22"/>
    </w:rPr>
  </w:style>
  <w:style w:type="character" w:styleId="9" w:customStyle="1">
    <w:name w:val="Заголовок 9 Знак"/>
    <w:basedOn w:val="DefaultParagraphFont"/>
    <w:uiPriority w:val="9"/>
    <w:qFormat/>
    <w:rPr>
      <w:rFonts w:ascii="Arial" w:hAnsi="Arial" w:eastAsia="Arial" w:cs="Arial"/>
      <w:i/>
      <w:iCs/>
      <w:sz w:val="21"/>
      <w:szCs w:val="21"/>
    </w:rPr>
  </w:style>
  <w:style w:type="character" w:styleId="Style5" w:customStyle="1">
    <w:name w:val="Название Знак"/>
    <w:basedOn w:val="DefaultParagraphFont"/>
    <w:uiPriority w:val="10"/>
    <w:qFormat/>
    <w:rPr>
      <w:sz w:val="48"/>
      <w:szCs w:val="48"/>
    </w:rPr>
  </w:style>
  <w:style w:type="character" w:styleId="Style6" w:customStyle="1">
    <w:name w:val="Подзаголовок Знак"/>
    <w:basedOn w:val="DefaultParagraphFont"/>
    <w:uiPriority w:val="11"/>
    <w:qFormat/>
    <w:rPr>
      <w:sz w:val="24"/>
      <w:szCs w:val="24"/>
    </w:rPr>
  </w:style>
  <w:style w:type="character" w:styleId="21" w:customStyle="1">
    <w:name w:val="Цитата 2 Знак"/>
    <w:uiPriority w:val="29"/>
    <w:qFormat/>
    <w:rPr>
      <w:i/>
    </w:rPr>
  </w:style>
  <w:style w:type="character" w:styleId="Style7" w:customStyle="1">
    <w:name w:val="Выделенная цитата Знак"/>
    <w:uiPriority w:val="30"/>
    <w:qFormat/>
    <w:rPr>
      <w:i/>
    </w:rPr>
  </w:style>
  <w:style w:type="character" w:styleId="Style8" w:customStyle="1">
    <w:name w:val="Верхний колонтитул Знак"/>
    <w:basedOn w:val="DefaultParagraphFont"/>
    <w:uiPriority w:val="99"/>
    <w:qFormat/>
    <w:rPr/>
  </w:style>
  <w:style w:type="character" w:styleId="FooterChar" w:customStyle="1">
    <w:name w:val="Footer Char"/>
    <w:basedOn w:val="DefaultParagraphFont"/>
    <w:uiPriority w:val="99"/>
    <w:qFormat/>
    <w:rPr/>
  </w:style>
  <w:style w:type="character" w:styleId="Style9" w:customStyle="1">
    <w:name w:val="Нижний колонтитул Знак"/>
    <w:uiPriority w:val="99"/>
    <w:qFormat/>
    <w:rPr/>
  </w:style>
  <w:style w:type="character" w:styleId="Hyperlink">
    <w:name w:val="Hyperlink"/>
    <w:uiPriority w:val="99"/>
    <w:unhideWhenUsed/>
    <w:rPr>
      <w:color w:themeColor="hyperlink" w:val="0000FF"/>
      <w:u w:val="single"/>
    </w:rPr>
  </w:style>
  <w:style w:type="character" w:styleId="Style10" w:customStyle="1">
    <w:name w:val="Текст сноски Знак"/>
    <w:uiPriority w:val="99"/>
    <w:qFormat/>
    <w:rPr>
      <w:sz w:val="18"/>
    </w:rPr>
  </w:style>
  <w:style w:type="character" w:styleId="Style11">
    <w:name w:val="Символ сноски"/>
    <w:basedOn w:val="DefaultParagraphFont"/>
    <w:uiPriority w:val="99"/>
    <w:unhideWhenUsed/>
    <w:qFormat/>
    <w:rPr>
      <w:vertAlign w:val="superscript"/>
    </w:rPr>
  </w:style>
  <w:style w:type="character" w:styleId="FootnoteReference">
    <w:name w:val="footnote reference"/>
    <w:rPr>
      <w:vertAlign w:val="superscript"/>
    </w:rPr>
  </w:style>
  <w:style w:type="character" w:styleId="Style12" w:customStyle="1">
    <w:name w:val="Текст концевой сноски Знак"/>
    <w:uiPriority w:val="99"/>
    <w:qFormat/>
    <w:rPr>
      <w:sz w:val="20"/>
    </w:rPr>
  </w:style>
  <w:style w:type="character" w:styleId="Style13">
    <w:name w:val="Символ концевой сноски"/>
    <w:basedOn w:val="DefaultParagraphFont"/>
    <w:uiPriority w:val="99"/>
    <w:semiHidden/>
    <w:unhideWhenUsed/>
    <w:qFormat/>
    <w:rPr>
      <w:vertAlign w:val="superscript"/>
    </w:rPr>
  </w:style>
  <w:style w:type="character" w:styleId="EndnoteReference">
    <w:name w:val="endnote reference"/>
    <w:rPr>
      <w:vertAlign w:val="superscript"/>
    </w:rPr>
  </w:style>
  <w:style w:type="paragraph" w:styleId="Style14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Mangal"/>
    </w:rPr>
  </w:style>
  <w:style w:type="paragraph" w:styleId="Caption">
    <w:name w:val="caption"/>
    <w:basedOn w:val="Normal"/>
    <w:uiPriority w:val="35"/>
    <w:semiHidden/>
    <w:unhideWhenUsed/>
    <w:qFormat/>
    <w:pPr/>
    <w:rPr>
      <w:b/>
      <w:bCs/>
      <w:color w:themeColor="accent1" w:val="4F81BD"/>
      <w:sz w:val="18"/>
      <w:szCs w:val="18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Title">
    <w:name w:val="Title"/>
    <w:basedOn w:val="Normal"/>
    <w:uiPriority w:val="10"/>
    <w:qFormat/>
    <w:pPr>
      <w:spacing w:before="300" w:after="200"/>
      <w:contextualSpacing/>
    </w:pPr>
    <w:rPr>
      <w:sz w:val="48"/>
      <w:szCs w:val="48"/>
    </w:rPr>
  </w:style>
  <w:style w:type="paragraph" w:styleId="Subtitle">
    <w:name w:val="Subtitle"/>
    <w:basedOn w:val="Normal"/>
    <w:uiPriority w:val="11"/>
    <w:qFormat/>
    <w:pPr>
      <w:spacing w:before="200" w:after="200"/>
    </w:pPr>
    <w:rPr>
      <w:sz w:val="24"/>
      <w:szCs w:val="24"/>
    </w:rPr>
  </w:style>
  <w:style w:type="paragraph" w:styleId="Quote">
    <w:name w:val="Quote"/>
    <w:basedOn w:val="Normal"/>
    <w:uiPriority w:val="29"/>
    <w:qFormat/>
    <w:pPr>
      <w:ind w:left="720" w:right="720"/>
    </w:pPr>
    <w:rPr>
      <w:i/>
    </w:rPr>
  </w:style>
  <w:style w:type="paragraph" w:styleId="IntenseQuote">
    <w:name w:val="Intense Quote"/>
    <w:basedOn w:val="Normal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paragraph" w:styleId="HeaderandFooter">
    <w:name w:val="Header and Footer"/>
    <w:basedOn w:val="Normal"/>
    <w:qFormat/>
    <w:pPr/>
    <w:rPr/>
  </w:style>
  <w:style w:type="paragraph" w:styleId="Header">
    <w:name w:val="header"/>
    <w:basedOn w:val="Normal"/>
    <w:uiPriority w:val="99"/>
    <w:unhideWhenUsed/>
    <w:pPr>
      <w:tabs>
        <w:tab w:val="clear" w:pos="708"/>
        <w:tab w:val="center" w:pos="7143" w:leader="none"/>
        <w:tab w:val="right" w:pos="14287" w:leader="none"/>
      </w:tabs>
      <w:spacing w:lineRule="auto" w:line="240" w:before="0" w:after="0"/>
    </w:pPr>
    <w:rPr/>
  </w:style>
  <w:style w:type="paragraph" w:styleId="Footer">
    <w:name w:val="footer"/>
    <w:basedOn w:val="Normal"/>
    <w:uiPriority w:val="99"/>
    <w:unhideWhenUsed/>
    <w:pPr>
      <w:tabs>
        <w:tab w:val="clear" w:pos="708"/>
        <w:tab w:val="center" w:pos="7143" w:leader="none"/>
        <w:tab w:val="right" w:pos="14287" w:leader="none"/>
      </w:tabs>
      <w:spacing w:lineRule="auto" w:line="240" w:before="0" w:after="0"/>
    </w:pPr>
    <w:rPr/>
  </w:style>
  <w:style w:type="paragraph" w:styleId="FootnoteText">
    <w:name w:val="footnote text"/>
    <w:basedOn w:val="Normal"/>
    <w:uiPriority w:val="99"/>
    <w:semiHidden/>
    <w:unhideWhenUsed/>
    <w:pPr>
      <w:spacing w:lineRule="auto" w:line="240" w:before="0" w:after="40"/>
    </w:pPr>
    <w:rPr>
      <w:sz w:val="18"/>
    </w:rPr>
  </w:style>
  <w:style w:type="paragraph" w:styleId="EndnoteText">
    <w:name w:val="endnote text"/>
    <w:basedOn w:val="Normal"/>
    <w:uiPriority w:val="99"/>
    <w:semiHidden/>
    <w:unhideWhenUsed/>
    <w:pPr>
      <w:spacing w:lineRule="auto" w:line="240" w:before="0" w:after="0"/>
    </w:pPr>
    <w:rPr>
      <w:sz w:val="20"/>
    </w:rPr>
  </w:style>
  <w:style w:type="paragraph" w:styleId="TOC1">
    <w:name w:val="toc 1"/>
    <w:basedOn w:val="Normal"/>
    <w:uiPriority w:val="39"/>
    <w:unhideWhenUsed/>
    <w:pPr>
      <w:spacing w:before="0" w:after="57"/>
    </w:pPr>
    <w:rPr/>
  </w:style>
  <w:style w:type="paragraph" w:styleId="TOC2">
    <w:name w:val="toc 2"/>
    <w:basedOn w:val="Normal"/>
    <w:uiPriority w:val="39"/>
    <w:unhideWhenUsed/>
    <w:pPr>
      <w:spacing w:before="0" w:after="57"/>
      <w:ind w:left="283"/>
    </w:pPr>
    <w:rPr/>
  </w:style>
  <w:style w:type="paragraph" w:styleId="TOC3">
    <w:name w:val="toc 3"/>
    <w:basedOn w:val="Normal"/>
    <w:uiPriority w:val="39"/>
    <w:unhideWhenUsed/>
    <w:pPr>
      <w:spacing w:before="0" w:after="57"/>
      <w:ind w:left="567"/>
    </w:pPr>
    <w:rPr/>
  </w:style>
  <w:style w:type="paragraph" w:styleId="TOC4">
    <w:name w:val="toc 4"/>
    <w:basedOn w:val="Normal"/>
    <w:uiPriority w:val="39"/>
    <w:unhideWhenUsed/>
    <w:pPr>
      <w:spacing w:before="0" w:after="57"/>
      <w:ind w:left="850"/>
    </w:pPr>
    <w:rPr/>
  </w:style>
  <w:style w:type="paragraph" w:styleId="TOC5">
    <w:name w:val="toc 5"/>
    <w:basedOn w:val="Normal"/>
    <w:uiPriority w:val="39"/>
    <w:unhideWhenUsed/>
    <w:pPr>
      <w:spacing w:before="0" w:after="57"/>
      <w:ind w:left="1134"/>
    </w:pPr>
    <w:rPr/>
  </w:style>
  <w:style w:type="paragraph" w:styleId="TOC6">
    <w:name w:val="toc 6"/>
    <w:basedOn w:val="Normal"/>
    <w:uiPriority w:val="39"/>
    <w:unhideWhenUsed/>
    <w:pPr>
      <w:spacing w:before="0" w:after="57"/>
      <w:ind w:left="1417"/>
    </w:pPr>
    <w:rPr/>
  </w:style>
  <w:style w:type="paragraph" w:styleId="TOC7">
    <w:name w:val="toc 7"/>
    <w:basedOn w:val="Normal"/>
    <w:uiPriority w:val="39"/>
    <w:unhideWhenUsed/>
    <w:pPr>
      <w:spacing w:before="0" w:after="57"/>
      <w:ind w:left="1701"/>
    </w:pPr>
    <w:rPr/>
  </w:style>
  <w:style w:type="paragraph" w:styleId="TOC8">
    <w:name w:val="toc 8"/>
    <w:basedOn w:val="Normal"/>
    <w:uiPriority w:val="39"/>
    <w:unhideWhenUsed/>
    <w:pPr>
      <w:spacing w:before="0" w:after="57"/>
      <w:ind w:left="1984"/>
    </w:pPr>
    <w:rPr/>
  </w:style>
  <w:style w:type="paragraph" w:styleId="TOC9">
    <w:name w:val="toc 9"/>
    <w:basedOn w:val="Normal"/>
    <w:uiPriority w:val="39"/>
    <w:unhideWhenUsed/>
    <w:pPr>
      <w:spacing w:before="0" w:after="57"/>
      <w:ind w:left="2268"/>
    </w:pPr>
    <w:rPr/>
  </w:style>
  <w:style w:type="paragraph" w:styleId="IndexHeading">
    <w:name w:val="index heading"/>
    <w:basedOn w:val="Style14"/>
    <w:pPr/>
    <w:rPr/>
  </w:style>
  <w:style w:type="paragraph" w:styleId="TOCHeading">
    <w:name w:val="TOC Heading"/>
    <w:uiPriority w:val="39"/>
    <w:unhideWhenUsed/>
    <w:qFormat/>
    <w:pPr>
      <w:widowControl/>
      <w:bidi w:val="0"/>
      <w:spacing w:lineRule="auto" w:line="276" w:beforeAutospacing="0" w:before="0" w:afterAutospacing="0" w:after="200"/>
      <w:jc w:val="left"/>
    </w:pPr>
    <w:rPr>
      <w:rFonts w:ascii="Calibri" w:hAnsi="Calibri" w:eastAsia="Calibri" w:cs="Arial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paragraph" w:styleId="TableofFigures">
    <w:name w:val="table of figures"/>
    <w:basedOn w:val="Normal"/>
    <w:uiPriority w:val="99"/>
    <w:unhideWhenUsed/>
    <w:pPr>
      <w:spacing w:before="0" w:after="0"/>
    </w:pPr>
    <w:rPr/>
  </w:style>
  <w:style w:type="paragraph" w:styleId="ListParagraph1" w:customStyle="1">
    <w:name w:val="List Paragraph1"/>
    <w:basedOn w:val="Normal"/>
    <w:qFormat/>
    <w:pPr>
      <w:ind w:left="720"/>
    </w:pPr>
    <w:rPr>
      <w:rFonts w:eastAsia="Times New Roman" w:cs="Calibri"/>
    </w:rPr>
  </w:style>
  <w:style w:type="paragraph" w:styleId="ListParagraph">
    <w:name w:val="List Paragraph"/>
    <w:basedOn w:val="Normal"/>
    <w:uiPriority w:val="34"/>
    <w:qFormat/>
    <w:pPr>
      <w:spacing w:before="0" w:after="200"/>
      <w:ind w:left="720"/>
      <w:contextualSpacing/>
    </w:pPr>
    <w:rPr/>
  </w:style>
  <w:style w:type="paragraph" w:styleId="NoSpacing">
    <w:name w:val="No Spacing"/>
    <w:uiPriority w:val="1"/>
    <w:qFormat/>
    <w:pPr>
      <w:widowControl/>
      <w:bidi w:val="0"/>
      <w:spacing w:lineRule="auto" w:line="240" w:beforeAutospacing="0" w:before="0" w:afterAutospacing="0" w:after="0"/>
      <w:jc w:val="left"/>
    </w:pPr>
    <w:rPr>
      <w:rFonts w:ascii="Calibri" w:hAnsi="Calibri" w:eastAsia="Calibri" w:cs="Times New Roman" w:asciiTheme="minorHAnsi" w:eastAsiaTheme="minorHAnsi" w:hAnsiTheme="minorHAnsi"/>
      <w:color w:val="auto"/>
      <w:kern w:val="0"/>
      <w:sz w:val="22"/>
      <w:szCs w:val="22"/>
      <w:lang w:val="ru-RU" w:eastAsia="en-US" w:bidi="ar-SA"/>
    </w:rPr>
  </w:style>
  <w:style w:type="numbering" w:styleId="Style16" w:default="1">
    <w:name w:val="Без списка"/>
    <w:uiPriority w:val="99"/>
    <w:semiHidden/>
    <w:unhideWhenUsed/>
    <w:qFormat/>
  </w:style>
  <w:style w:type="numbering" w:styleId="11" w:customStyle="1">
    <w:name w:val="Стиль1"/>
    <w:uiPriority w:val="99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://zakupki.gov.ru/" TargetMode="External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 pitchFamily="0" charset="1"/>
        <a:ea typeface="Arial" pitchFamily="0" charset="1"/>
        <a:cs typeface="Arial" pitchFamily="0" charset="1"/>
      </a:majorFont>
      <a:minorFont>
        <a:latin typeface="Calibri" pitchFamily="0" charset="1"/>
        <a:ea typeface="Arial" pitchFamily="0" charset="1"/>
        <a:cs typeface="Arial" pitchFamily="0" charset="1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0" t="0" r="0" b="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0" t="0" r="0" b="0"/>
          </a:path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Application>LibreOffice/24.8.5.2$Windows_x86 LibreOffice_project/fddf2685c70b461e7832239a0162a77216259f22</Application>
  <AppVersion>15.0000</AppVersion>
  <Pages>2</Pages>
  <Words>455</Words>
  <Characters>3333</Characters>
  <CharactersWithSpaces>3693</CharactersWithSpaces>
  <Paragraphs>89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2023-05-10T07:23:00Z</dcterms:created>
  <dc:creator/>
  <dc:description/>
  <dc:language>ru-RU</dc:language>
  <cp:lastModifiedBy/>
  <cp:lastPrinted>2026-08-05T08:59:03Z</cp:lastPrinted>
  <dcterms:modified xsi:type="dcterms:W3CDTF">2026-08-05T09:01:18Z</dcterms:modified>
  <cp:revision>4</cp:revision>
  <dc:subject/>
  <dc:title/>
</cp:coreProperties>
</file>