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284" w:leader="none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Протокол </w:t>
      </w:r>
    </w:p>
    <w:p>
      <w:pPr>
        <w:pStyle w:val="Heading"/>
        <w:widowControl w:val="false"/>
        <w:numPr>
          <w:ilvl w:val="0"/>
          <w:numId w:val="0"/>
        </w:numPr>
        <w:tabs>
          <w:tab w:val="clear" w:pos="709"/>
          <w:tab w:val="left" w:pos="284" w:leader="none"/>
          <w:tab w:val="left" w:pos="15309" w:leader="none"/>
        </w:tabs>
        <w:outlineLvl w:val="0"/>
        <w:rPr/>
      </w:pPr>
      <w:r>
        <w:rPr>
          <w:caps w:val="false"/>
          <w:smallCaps w:val="false"/>
          <w:sz w:val="22"/>
          <w:szCs w:val="22"/>
        </w:rPr>
        <w:t>подведения итогов определения поставщика (подрядчика, исполнителя) по закупке</w:t>
      </w:r>
      <w:r>
        <w:rPr>
          <w:bCs/>
          <w:caps w:val="false"/>
          <w:smallCaps w:val="false"/>
          <w:sz w:val="22"/>
          <w:szCs w:val="22"/>
        </w:rPr>
        <w:t xml:space="preserve"> </w:t>
      </w:r>
    </w:p>
    <w:p>
      <w:pPr>
        <w:pStyle w:val="Heading"/>
        <w:widowControl w:val="false"/>
        <w:numPr>
          <w:ilvl w:val="0"/>
          <w:numId w:val="0"/>
        </w:numPr>
        <w:tabs>
          <w:tab w:val="clear" w:pos="709"/>
          <w:tab w:val="left" w:pos="284" w:leader="none"/>
          <w:tab w:val="left" w:pos="15309" w:leader="none"/>
        </w:tabs>
        <w:outlineLvl w:val="0"/>
        <w:rPr>
          <w:caps/>
          <w:sz w:val="22"/>
          <w:szCs w:val="22"/>
        </w:rPr>
      </w:pPr>
      <w:r>
        <w:rPr>
          <w:caps/>
          <w:sz w:val="22"/>
          <w:szCs w:val="22"/>
        </w:rPr>
        <w:t>№</w:t>
      </w:r>
      <w:r>
        <w:rPr>
          <w:caps w:val="false"/>
          <w:smallCaps w:val="false"/>
          <w:sz w:val="22"/>
          <w:szCs w:val="22"/>
        </w:rPr>
        <w:t xml:space="preserve"> </w:t>
      </w:r>
      <w:r>
        <w:rPr>
          <w:caps w:val="false"/>
          <w:smallCaps w:val="false"/>
          <w:sz w:val="22"/>
          <w:szCs w:val="22"/>
        </w:rPr>
        <w:t>0154300014626000675</w:t>
      </w:r>
    </w:p>
    <w:p>
      <w:pPr>
        <w:pStyle w:val="Normal"/>
        <w:widowControl w:val="false"/>
        <w:tabs>
          <w:tab w:val="clear" w:pos="709"/>
          <w:tab w:val="left" w:pos="284" w:leader="none"/>
          <w:tab w:val="right" w:pos="10489" w:leader="none"/>
          <w:tab w:val="right" w:pos="15451" w:leader="none"/>
        </w:tabs>
        <w:rPr/>
      </w:pPr>
      <w:r>
        <w:rPr>
          <w:sz w:val="22"/>
          <w:szCs w:val="22"/>
        </w:rPr>
        <w:t>г. Орёл</w:t>
        <w:tab/>
        <w:t>06 августа 2026 года</w:t>
      </w:r>
    </w:p>
    <w:p>
      <w:pPr>
        <w:pStyle w:val="Normal"/>
        <w:widowControl w:val="false"/>
        <w:tabs>
          <w:tab w:val="clear" w:pos="709"/>
          <w:tab w:val="left" w:pos="284" w:leader="none"/>
          <w:tab w:val="right" w:pos="10489" w:leader="none"/>
          <w:tab w:val="right" w:pos="15451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1.Наименование закупки: </w:t>
      </w:r>
      <w:r>
        <w:rPr>
          <w:rFonts w:cs="Arial" w:ascii="Arial" w:hAnsi="Arial"/>
          <w:color w:val="212121"/>
          <w:sz w:val="21"/>
          <w:szCs w:val="21"/>
          <w:shd w:fill="FFFFFF" w:val="clear"/>
        </w:rPr>
        <w:t>Поставка детского игрового и спортивного оборудования (с установкой) (наказы: №156, № 265-д, № 273-д, № 280-д, № 312, № 328, № 329, № 331-д, № 332-д, № 333-д)</w:t>
      </w:r>
      <w:r>
        <w:rPr>
          <w:sz w:val="22"/>
          <w:szCs w:val="22"/>
        </w:rPr>
        <w:t xml:space="preserve"> (далее – запрос котировок).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2.Заказчик: Муниципальное казенное учреждение «Объединенный муниципальный заказчик города Орла».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3.Идентификационный код закупки: 263570100087257530100101290013230244.</w:t>
      </w:r>
    </w:p>
    <w:p>
      <w:pPr>
        <w:pStyle w:val="Normal"/>
        <w:widowControl w:val="false"/>
        <w:tabs>
          <w:tab w:val="clear" w:pos="709"/>
          <w:tab w:val="left" w:pos="284" w:leader="none"/>
        </w:tabs>
        <w:suppressAutoHyphens w:val="true"/>
        <w:jc w:val="both"/>
        <w:rPr/>
      </w:pPr>
      <w:r>
        <w:rPr>
          <w:rStyle w:val="Basic"/>
          <w:bCs/>
          <w:spacing w:val="-2"/>
          <w:sz w:val="22"/>
          <w:szCs w:val="22"/>
        </w:rPr>
        <w:t>4.Информация о единой комиссии.</w:t>
      </w:r>
    </w:p>
    <w:tbl>
      <w:tblPr>
        <w:tblW w:w="793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1"/>
        <w:gridCol w:w="2693"/>
      </w:tblGrid>
      <w:tr>
        <w:trPr/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Родштейн М. В.</w:t>
            </w:r>
          </w:p>
        </w:tc>
      </w:tr>
      <w:tr>
        <w:trPr/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Style w:val="Basic"/>
                <w:sz w:val="22"/>
                <w:szCs w:val="22"/>
              </w:rPr>
              <w:t>Алексютина Т. М.</w:t>
            </w:r>
          </w:p>
        </w:tc>
      </w:tr>
      <w:tr>
        <w:trPr/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Style w:val="Basic"/>
                <w:sz w:val="22"/>
                <w:szCs w:val="22"/>
              </w:rPr>
              <w:t>Киреева О. И.</w:t>
            </w:r>
          </w:p>
        </w:tc>
      </w:tr>
      <w:tr>
        <w:trPr/>
        <w:tc>
          <w:tcPr>
            <w:tcW w:w="5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Соломкин М. В.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Хохлов Д. С.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Доронина С. Е.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rPr/>
            </w:pPr>
            <w:r>
              <w:rPr>
                <w:rStyle w:val="Basic"/>
                <w:sz w:val="22"/>
                <w:szCs w:val="22"/>
              </w:rPr>
              <w:t>Сосикова А. Ю.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  <w:t>Ларкина М. А.</w:t>
            </w:r>
          </w:p>
        </w:tc>
      </w:tr>
    </w:tbl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/>
      </w:pPr>
      <w:r>
        <w:rPr>
          <w:rStyle w:val="Basic"/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>
      <w:pPr>
        <w:pStyle w:val="Normal"/>
        <w:widowControl w:val="false"/>
        <w:tabs>
          <w:tab w:val="clear" w:pos="709"/>
          <w:tab w:val="left" w:pos="142" w:leader="none"/>
          <w:tab w:val="left" w:pos="284" w:leader="none"/>
        </w:tabs>
        <w:suppressAutoHyphens w:val="true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10517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549"/>
        <w:gridCol w:w="2968"/>
      </w:tblGrid>
      <w:tr>
        <w:trPr>
          <w:tblHeader w:val="true"/>
          <w:trHeight w:val="23" w:hRule="atLeast"/>
        </w:trPr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284" w:leader="none"/>
              </w:tabs>
              <w:rPr>
                <w:i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Идентификационные номера заявок 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284" w:leader="none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>
        <w:trPr>
          <w:trHeight w:val="23" w:hRule="atLeast"/>
        </w:trPr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rPr>
                <w:b/>
                <w:i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запросе котировок.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284" w:leader="none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>
        <w:trPr>
          <w:trHeight w:val="910" w:hRule="atLeast"/>
        </w:trPr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tabs>
                <w:tab w:val="clear" w:pos="709"/>
                <w:tab w:val="left" w:pos="284" w:leader="none"/>
              </w:tabs>
              <w:rPr/>
            </w:pPr>
            <w:r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запросе котировок о соответствии извещению о проведении запроса котировок или об отклонении заявки на участие в запросе котировок по основаниям, предусмотренным Законом 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jc w:val="center"/>
              <w:rPr/>
            </w:pPr>
            <w:r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/>
      </w:pPr>
      <w:r>
        <w:rPr>
          <w:sz w:val="22"/>
          <w:szCs w:val="22"/>
        </w:rPr>
        <w:t>Информация о заключении контракта по цене, увеличенной в соответствии со статьями 28 и 29 Закона: отсутствует увеличение цены контракта (цены каждой единицы товара, работы, услуги) в соответствии со статьями 28 и 29 Закона.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Решение каждого члена единой комиссии в отношении участника закупки и поданной им единственной заявки соответствует решению единой комиссии. 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>7. В соответствии с пунктом 1 части 1 статьи 52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открытый конкурентный способ признается несостоявшимся в связи с тем, что по окончании срока подачи заявок на участие в закупке подана только одна заявка на участие в закупке.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>8. Настоящий протокол подписан усиленными электронными подписями всех присутствующих членов единой комиссии.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Доронина Светлана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59:EC:47:18:81:BE:63:EC:D1:A1:69:CE:F2:54:A0:6C, действителен с 09.07.2026 14:02:49 по 02.10.2027 14:02:49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10:40:37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Сосикова Алина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7F:5A:BF:D0:82:F8:C9:84:30:91:21:7C:4C:9B:5C:68, действителен с 06.04.2026 06:11:01 по 30.06.2027 06:11:01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Хохлов Денис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00:C5:A8:63:77:31:07:13:F1:DC:58:9B:2A:7A:0B:0E:64, действителен с 22.05.2026 11:44:32 по 15.08.2027 11:44:32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10:41:14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Соломкин Михаил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50:C5:CD:E5:B2:CF:E9:CF:F4:74:6F:04:F2:FC:D3:01, действителен с 02.12.2025 08:56:16 по 25.02.2027 08:56:16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11:37:42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00:C9:47:E3:31:2D:01:DB:53:AE:0B:B4:1B:DC:2F:AC:BC, действителен с 18.05.2026 08:17:18 по 11.08.2027 08:17:18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11:38:53 МСК</w:t>
      </w:r>
    </w:p>
    <w:sectPr>
      <w:footerReference w:type="default" r:id="rId2"/>
      <w:type w:val="nextPage"/>
      <w:pgSz w:w="11906" w:h="16838"/>
      <w:pgMar w:left="851" w:right="567" w:gutter="0" w:header="0" w:top="426" w:footer="0" w:bottom="426"/>
      <w:pgNumType w:start="1" w:fmt="decimal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02"/>
    <w:family w:val="auto"/>
    <w:pitch w:val="variable"/>
  </w:font>
  <w:font w:name="Tahoma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432"/>
        </w:tabs>
        <w:ind w:left="432" w:hanging="432"/>
      </w:pPr>
      <w:rPr>
        <w:sz w:val="28"/>
        <w:i w:val="false"/>
        <w:b/>
        <w:szCs w:val="28"/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sz w:val="28"/>
        <w:i w:val="false"/>
        <w:b w:val="false"/>
        <w:szCs w:val="26"/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/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/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styleId="WW8Num2z0">
    <w:name w:val="WW8Num2z0"/>
    <w:qFormat/>
    <w:rPr>
      <w:rFonts w:ascii="Times New Roman" w:hAnsi="Times New Roman" w:cs="Times New Roman"/>
      <w:b/>
      <w:i w:val="false"/>
      <w:sz w:val="28"/>
      <w:szCs w:val="28"/>
    </w:rPr>
  </w:style>
  <w:style w:type="character" w:styleId="WW8Num2z1">
    <w:name w:val="WW8Num2z1"/>
    <w:qFormat/>
    <w:rPr>
      <w:rFonts w:ascii="Times New Roman" w:hAnsi="Times New Roman" w:cs="Times New Roman"/>
      <w:b w:val="false"/>
      <w:i w:val="false"/>
      <w:sz w:val="28"/>
      <w:szCs w:val="26"/>
    </w:rPr>
  </w:style>
  <w:style w:type="character" w:styleId="WW8Num2z2">
    <w:name w:val="WW8Num2z2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6z0">
    <w:name w:val="WW8Num6z0"/>
    <w:qFormat/>
    <w:rPr>
      <w:rFonts w:ascii="Times New Roman" w:hAnsi="Times New Roman" w:cs="Times New Roman"/>
      <w:b w:val="false"/>
      <w:i w:val="false"/>
      <w:sz w:val="22"/>
      <w:szCs w:val="24"/>
    </w:rPr>
  </w:style>
  <w:style w:type="character" w:styleId="WW8Num6z1">
    <w:name w:val="WW8Num6z1"/>
    <w:qFormat/>
    <w:rPr>
      <w:rFonts w:ascii="Times New Roman" w:hAnsi="Times New Roman" w:cs="Times New Roman"/>
      <w:b/>
      <w:i w:val="false"/>
      <w:sz w:val="22"/>
      <w:szCs w:val="22"/>
    </w:rPr>
  </w:style>
  <w:style w:type="character" w:styleId="WW8Num6z2">
    <w:name w:val="WW8Num6z2"/>
    <w:qFormat/>
    <w:rPr/>
  </w:style>
  <w:style w:type="character" w:styleId="WW8Num8z0">
    <w:name w:val="WW8Num8z0"/>
    <w:qFormat/>
    <w:rPr/>
  </w:style>
  <w:style w:type="character" w:styleId="WW8Num9z1">
    <w:name w:val="WW8Num9z1"/>
    <w:qFormat/>
    <w:rPr/>
  </w:style>
  <w:style w:type="character" w:styleId="WW8Num10z0">
    <w:name w:val="WW8Num10z0"/>
    <w:qFormat/>
    <w:rPr/>
  </w:style>
  <w:style w:type="character" w:styleId="WW8Num11z0">
    <w:name w:val="WW8Num11z0"/>
    <w:qFormat/>
    <w:rPr>
      <w:rFonts w:ascii="Times New Roman" w:hAnsi="Times New Roman" w:eastAsia="Times New Roman" w:cs="Times New Roman"/>
    </w:rPr>
  </w:style>
  <w:style w:type="character" w:styleId="WW8Num14z0">
    <w:name w:val="WW8Num14z0"/>
    <w:qFormat/>
    <w:rPr>
      <w:rFonts w:ascii="Times New Roman" w:hAnsi="Times New Roman" w:cs="Times New Roman"/>
      <w:b/>
      <w:i w:val="false"/>
      <w:sz w:val="22"/>
      <w:szCs w:val="22"/>
    </w:rPr>
  </w:style>
  <w:style w:type="character" w:styleId="WW8Num14z2">
    <w:name w:val="WW8Num14z2"/>
    <w:qFormat/>
    <w:rPr/>
  </w:style>
  <w:style w:type="character" w:styleId="WW8Num15z0">
    <w:name w:val="WW8Num15z0"/>
    <w:qFormat/>
    <w:rPr>
      <w:b/>
    </w:rPr>
  </w:style>
  <w:style w:type="character" w:styleId="WW8Num17z0">
    <w:name w:val="WW8Num17z0"/>
    <w:qFormat/>
    <w:rPr>
      <w:rFonts w:ascii="Times New Roman" w:hAnsi="Times New Roman" w:eastAsia="Times New Roman" w:cs="Times New Roman"/>
      <w:b w:val="false"/>
      <w:i w:val="false"/>
      <w:sz w:val="24"/>
      <w:szCs w:val="24"/>
    </w:rPr>
  </w:style>
  <w:style w:type="character" w:styleId="WW8Num17z1">
    <w:name w:val="WW8Num17z1"/>
    <w:qFormat/>
    <w:rPr>
      <w:rFonts w:ascii="Times New Roman" w:hAnsi="Times New Roman" w:cs="Times New Roman"/>
      <w:b/>
      <w:i w:val="false"/>
      <w:sz w:val="22"/>
      <w:szCs w:val="22"/>
    </w:rPr>
  </w:style>
  <w:style w:type="character" w:styleId="WW8Num17z2">
    <w:name w:val="WW8Num17z2"/>
    <w:qFormat/>
    <w:rPr/>
  </w:style>
  <w:style w:type="character" w:styleId="WW8Num18z0">
    <w:name w:val="WW8Num18z0"/>
    <w:qFormat/>
    <w:rPr>
      <w:rFonts w:ascii="Wingdings" w:hAnsi="Wingdings" w:cs="Wingdings"/>
    </w:rPr>
  </w:style>
  <w:style w:type="character" w:styleId="WW8Num19z0">
    <w:name w:val="WW8Num19z0"/>
    <w:qFormat/>
    <w:rPr>
      <w:b/>
    </w:rPr>
  </w:style>
  <w:style w:type="character" w:styleId="Style13">
    <w:name w:val="Основной шрифт абзаца"/>
    <w:qFormat/>
    <w:rPr/>
  </w:style>
  <w:style w:type="character" w:styleId="Style14">
    <w:name w:val="íîìåð ñòðàíèöû"/>
    <w:basedOn w:val="Style13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PageNumber">
    <w:name w:val="Page Number"/>
    <w:basedOn w:val="Style13"/>
    <w:rPr/>
  </w:style>
  <w:style w:type="character" w:styleId="EndnoteCharacters">
    <w:name w:val="Endnote Characters"/>
    <w:qFormat/>
    <w:rPr>
      <w:vertAlign w:val="superscript"/>
    </w:rPr>
  </w:style>
  <w:style w:type="character" w:styleId="1">
    <w:name w:val="Основной текст с отступом Знак1"/>
    <w:basedOn w:val="Style13"/>
    <w:qFormat/>
    <w:rPr/>
  </w:style>
  <w:style w:type="character" w:styleId="Hyperlink">
    <w:name w:val="Hyperlink"/>
    <w:rPr>
      <w:color w:val="0000FF"/>
      <w:u w:val="single"/>
    </w:rPr>
  </w:style>
  <w:style w:type="character" w:styleId="Iceouttxt1">
    <w:name w:val="iceouttxt1"/>
    <w:qFormat/>
    <w:rPr>
      <w:rFonts w:ascii="Arial" w:hAnsi="Arial" w:cs="Arial"/>
      <w:color w:val="666666"/>
      <w:sz w:val="13"/>
      <w:szCs w:val="13"/>
    </w:rPr>
  </w:style>
  <w:style w:type="character" w:styleId="Rserrmark1">
    <w:name w:val="rs_err_mark1"/>
    <w:qFormat/>
    <w:rPr>
      <w:color w:val="FF0000"/>
    </w:rPr>
  </w:style>
  <w:style w:type="character" w:styleId="Basic">
    <w:name w:val="basic"/>
    <w:basedOn w:val="Style13"/>
    <w:qFormat/>
    <w:rPr/>
  </w:style>
  <w:style w:type="character" w:styleId="Style15">
    <w:name w:val="Текст концевой сноски Знак"/>
    <w:basedOn w:val="Style13"/>
    <w:qFormat/>
    <w:rPr/>
  </w:style>
  <w:style w:type="character" w:styleId="Ng-binding">
    <w:name w:val="ng-binding"/>
    <w:qFormat/>
    <w:rPr/>
  </w:style>
  <w:style w:type="character" w:styleId="Style16">
    <w:name w:val="Текст выноски Знак"/>
    <w:qFormat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BodyText"/>
    <w:qFormat/>
    <w:pPr>
      <w:jc w:val="center"/>
    </w:pPr>
    <w:rPr>
      <w:b/>
      <w:smallCaps/>
      <w:sz w:val="32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BodyTextIndent">
    <w:name w:val="Body Text Indent"/>
    <w:basedOn w:val="Normal"/>
    <w:pPr>
      <w:ind w:hanging="0" w:left="5529" w:right="0"/>
      <w:jc w:val="center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153" w:leader="none"/>
        <w:tab w:val="right" w:pos="8306" w:leader="none"/>
      </w:tabs>
    </w:pPr>
    <w:rPr/>
  </w:style>
  <w:style w:type="paragraph" w:styleId="FootnoteText">
    <w:name w:val="Footnote Text"/>
    <w:basedOn w:val="Normal"/>
    <w:pPr/>
    <w:rPr/>
  </w:style>
  <w:style w:type="paragraph" w:styleId="2">
    <w:name w:val="Основной текст с отступом 2"/>
    <w:basedOn w:val="Normal"/>
    <w:qFormat/>
    <w:pPr>
      <w:suppressAutoHyphens w:val="true"/>
      <w:spacing w:before="120" w:after="120"/>
      <w:ind w:firstLine="540" w:left="0" w:right="0"/>
      <w:jc w:val="both"/>
    </w:pPr>
    <w:rPr>
      <w:sz w:val="26"/>
    </w:rPr>
  </w:style>
  <w:style w:type="paragraph" w:styleId="21">
    <w:name w:val="Основной текст 2"/>
    <w:basedOn w:val="Normal"/>
    <w:qFormat/>
    <w:pPr>
      <w:spacing w:lineRule="auto" w:line="480" w:before="0" w:after="120"/>
    </w:pPr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1">
    <w:name w:val="Знак Знак1 Знак"/>
    <w:basedOn w:val="Normal"/>
    <w:qFormat/>
    <w:pPr>
      <w:spacing w:lineRule="exact" w:line="240" w:before="0" w:after="160"/>
      <w:jc w:val="both"/>
    </w:pPr>
    <w:rPr>
      <w:sz w:val="24"/>
      <w:lang w:val="en-US"/>
    </w:rPr>
  </w:style>
  <w:style w:type="paragraph" w:styleId="Style17">
    <w:name w:val="Без интервала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EndnoteText">
    <w:name w:val="Endnote Text"/>
    <w:basedOn w:val="Normal"/>
    <w:pPr/>
    <w:rPr/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  <w:lang w:val="en-US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2019-03-12T15:13:00Z</dcterms:created>
  <dc:creator>Корягина</dc:creator>
  <dc:description/>
  <cp:keywords/>
  <dc:language>en-US</dc:language>
  <cp:lastModifiedBy>Медведева Ольга Викторовна</cp:lastModifiedBy>
  <cp:lastPrinted>2026-08-06T10:10:00Z</cp:lastPrinted>
  <dcterms:modified xsi:type="dcterms:W3CDTF">2026-08-06T10:12:00Z</dcterms:modified>
  <cp:revision>195</cp:revision>
  <dc:subject/>
  <dc:title>ПРОТОКОЛ № _______</dc:title>
</cp:coreProperties>
</file>