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>
          <w:b/>
          <w:bCs/>
          <w:sz w:val="24"/>
          <w:szCs w:val="24"/>
          <w:shd w:fill="FFFFFF" w:val="clear"/>
          <w:lang w:val="ru-RU" w:eastAsia="ru-RU" w:bidi="ar-SA"/>
        </w:rPr>
        <w:t>Протокол №</w:t>
      </w:r>
      <w:r>
        <w:rPr>
          <w:rFonts w:eastAsia="Times New Roman"/>
          <w:b/>
          <w:bCs/>
          <w:sz w:val="24"/>
          <w:szCs w:val="24"/>
          <w:shd w:fill="FFFFFF" w:val="clear"/>
          <w:lang w:val="ru-RU" w:eastAsia="ru-RU" w:bidi="ar-SA"/>
        </w:rPr>
        <w:t xml:space="preserve"> 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 w:eastAsia="ru-RU" w:bidi="ar-SA"/>
        </w:rPr>
        <w:t>0744200000226006436</w:t>
      </w:r>
    </w:p>
    <w:p>
      <w:pPr>
        <w:pStyle w:val="Normal"/>
        <w:bidi w:val="0"/>
        <w:spacing w:lineRule="atLeast" w:line="0" w:before="0" w:after="0"/>
        <w:jc w:val="center"/>
        <w:rPr>
          <w:rFonts w:eastAsia="Times New Roman" w:cs="Times New Roman"/>
          <w:b/>
          <w:b/>
          <w:bCs/>
          <w:sz w:val="24"/>
          <w:szCs w:val="24"/>
          <w:shd w:fill="FFFFFF" w:val="clear"/>
          <w:lang w:val="ru-RU" w:eastAsia="ru-RU" w:bidi="ar-SA"/>
        </w:rPr>
      </w:pPr>
      <w:r>
        <w:rPr>
          <w:rFonts w:eastAsia="Times New Roman" w:cs="Times New Roman"/>
          <w:b/>
          <w:bCs/>
          <w:sz w:val="24"/>
          <w:szCs w:val="24"/>
          <w:shd w:fill="FFFFFF" w:val="clear"/>
          <w:lang w:val="ru-RU" w:eastAsia="ru-RU" w:bidi="ar-SA"/>
        </w:rPr>
        <w:t>подведения итогов электронного запроса котировок</w:t>
      </w:r>
    </w:p>
    <w:tbl>
      <w:tblPr>
        <w:tblW w:w="10263" w:type="dxa"/>
        <w:jc w:val="left"/>
        <w:tblInd w:w="3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31"/>
        <w:gridCol w:w="5131"/>
      </w:tblGrid>
      <w:tr>
        <w:trPr>
          <w:trHeight w:val="100" w:hRule="atLeast"/>
        </w:trPr>
        <w:tc>
          <w:tcPr>
            <w:tcW w:w="5131" w:type="dxa"/>
            <w:tcBorders/>
          </w:tcPr>
          <w:p>
            <w:pPr>
              <w:pStyle w:val="Style18"/>
              <w:widowControl w:val="false"/>
              <w:spacing w:before="0" w:after="120"/>
              <w:rPr>
                <w:rFonts w:ascii="Times New Roman" w:hAnsi="Times New Roman" w:cs="Times New Roman"/>
                <w:sz w:val="24"/>
                <w:szCs w:val="24"/>
                <w:shd w:fill="FFFFFF" w:val="clear"/>
              </w:rPr>
            </w:pPr>
            <w:r>
              <w:rPr>
                <w:rFonts w:cs="Times New Roman"/>
                <w:sz w:val="24"/>
                <w:szCs w:val="24"/>
                <w:shd w:fill="FFFFFF" w:val="clear"/>
              </w:rPr>
              <w:t xml:space="preserve">г. Курск  </w:t>
            </w:r>
          </w:p>
        </w:tc>
        <w:tc>
          <w:tcPr>
            <w:tcW w:w="5131" w:type="dxa"/>
            <w:tcBorders/>
          </w:tcPr>
          <w:p>
            <w:pPr>
              <w:pStyle w:val="ListParagraph1"/>
              <w:widowControl w:val="false"/>
              <w:tabs>
                <w:tab w:val="clear" w:pos="720"/>
                <w:tab w:val="left" w:pos="567" w:leader="none"/>
              </w:tabs>
              <w:spacing w:lineRule="auto" w:line="240" w:before="0" w:after="0"/>
              <w:ind w:left="0" w:right="0" w:hanging="0"/>
              <w:rPr>
                <w:rFonts w:cs="Times New Roman"/>
                <w:sz w:val="24"/>
                <w:szCs w:val="24"/>
                <w:lang w:val="en-US" w:eastAsia="ru-RU"/>
              </w:rPr>
            </w:pPr>
            <w:r>
              <w:rPr>
                <w:rFonts w:cs="Times New Roman"/>
                <w:sz w:val="24"/>
                <w:szCs w:val="24"/>
                <w:lang w:val="en-US" w:eastAsia="ru-RU"/>
              </w:rPr>
              <w:t>06.08.2026</w:t>
            </w:r>
          </w:p>
        </w:tc>
      </w:tr>
    </w:tbl>
    <w:p>
      <w:pPr>
        <w:pStyle w:val="Normal"/>
        <w:jc w:val="left"/>
        <w:rPr/>
      </w:pPr>
      <w:r>
        <w:rPr>
          <w:b/>
          <w:bCs/>
          <w:sz w:val="24"/>
          <w:szCs w:val="24"/>
          <w:shd w:fill="FFFFFF" w:val="clear"/>
          <w:lang w:val="ru-RU" w:eastAsia="ru-RU" w:bidi="ar-SA"/>
        </w:rPr>
        <w:t>Заказчиком является:</w:t>
      </w:r>
      <w:r>
        <w:rPr>
          <w:rFonts w:eastAsia="Times New Roman"/>
          <w:sz w:val="24"/>
          <w:szCs w:val="24"/>
          <w:shd w:fill="FFFFFF" w:val="clear"/>
          <w:lang w:val="ru-RU" w:eastAsia="ru-RU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lang w:val="ru-RU" w:eastAsia="ru-RU" w:bidi="ar-SA"/>
        </w:rPr>
        <w:t>ОБЛАСТНОЕ БЮДЖЕТНОЕ УЧРЕЖДЕНИЕ ЗДРАВООХРАНЕНИЯ "ОБЛАСТНОЙ КЛИНИЧЕСКИЙ ПРОТИВОТУБЕРКУЛЕЗНЫЙ ДИСПАНСЕР"</w:t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left"/>
        <w:rPr/>
      </w:pPr>
      <w:r>
        <w:rPr>
          <w:b/>
          <w:bCs/>
          <w:sz w:val="24"/>
          <w:szCs w:val="24"/>
          <w:shd w:fill="FFFFFF" w:val="clear"/>
          <w:lang w:val="ru-RU" w:eastAsia="ru-RU" w:bidi="ar-SA"/>
        </w:rPr>
        <w:t>Идентификационный</w:t>
      </w:r>
      <w:r>
        <w:rPr>
          <w:rFonts w:eastAsia="Times New Roman"/>
          <w:b/>
          <w:bCs/>
          <w:sz w:val="24"/>
          <w:szCs w:val="24"/>
          <w:shd w:fill="FFFFFF" w:val="clear"/>
          <w:lang w:val="ru-RU" w:eastAsia="ru-RU" w:bidi="ar-SA"/>
        </w:rPr>
        <w:t xml:space="preserve"> </w:t>
      </w:r>
      <w:r>
        <w:rPr>
          <w:b/>
          <w:bCs/>
          <w:sz w:val="24"/>
          <w:szCs w:val="24"/>
          <w:shd w:fill="FFFFFF" w:val="clear"/>
          <w:lang w:val="ru-RU" w:eastAsia="ru-RU" w:bidi="ar-SA"/>
        </w:rPr>
        <w:t>код</w:t>
      </w:r>
      <w:r>
        <w:rPr>
          <w:rFonts w:eastAsia="Times New Roman"/>
          <w:b/>
          <w:bCs/>
          <w:sz w:val="24"/>
          <w:szCs w:val="24"/>
          <w:shd w:fill="FFFFFF" w:val="clear"/>
          <w:lang w:val="ru-RU" w:eastAsia="ru-RU" w:bidi="ar-SA"/>
        </w:rPr>
        <w:t xml:space="preserve"> </w:t>
      </w:r>
      <w:r>
        <w:rPr>
          <w:b/>
          <w:bCs/>
          <w:sz w:val="24"/>
          <w:szCs w:val="24"/>
          <w:shd w:fill="FFFFFF" w:val="clear"/>
          <w:lang w:val="ru-RU" w:eastAsia="ru-RU" w:bidi="ar-SA"/>
        </w:rPr>
        <w:t>закупки</w:t>
      </w:r>
      <w:r>
        <w:rPr>
          <w:rFonts w:eastAsia="Times New Roman"/>
          <w:sz w:val="24"/>
          <w:szCs w:val="24"/>
          <w:shd w:fill="FFFFFF" w:val="clear"/>
          <w:lang w:val="ru-RU" w:eastAsia="ru-RU" w:bidi="ar-SA"/>
        </w:rPr>
        <w:t xml:space="preserve">:  </w:t>
      </w:r>
      <w:r>
        <w:rPr>
          <w:rStyle w:val="AnyCharacter"/>
          <w:rFonts w:eastAsia="Times New Roman" w:cs="Times New Roman"/>
          <w:b w:val="false"/>
          <w:i w:val="false"/>
          <w:caps w:val="false"/>
          <w:smallCaps w:val="false"/>
          <w:color w:val="212121"/>
          <w:spacing w:val="0"/>
          <w:sz w:val="21"/>
          <w:szCs w:val="24"/>
          <w:shd w:fill="FFFFFF" w:val="clear"/>
          <w:lang w:val="ru-RU" w:eastAsia="ru-RU" w:bidi="ar-SA"/>
        </w:rPr>
        <w:t>262461100262646110100100760010000244</w:t>
      </w:r>
      <w:r>
        <w:rPr>
          <w:rStyle w:val="AnyCharacter"/>
          <w:rFonts w:eastAsia="Times New Roman" w:cs="Times New Roman"/>
          <w:color w:val="000000"/>
          <w:sz w:val="24"/>
          <w:szCs w:val="24"/>
          <w:shd w:fill="FFFFFF" w:val="clear"/>
          <w:lang w:val="ru-RU" w:eastAsia="ru-RU" w:bidi="ar-SA"/>
        </w:rPr>
        <w:t xml:space="preserve"> </w:t>
      </w:r>
      <w:r>
        <w:rPr>
          <w:rStyle w:val="AnyCharacter"/>
          <w:rFonts w:cs="Times New Roman"/>
          <w:color w:val="000000"/>
          <w:sz w:val="24"/>
          <w:szCs w:val="24"/>
          <w:shd w:fill="FFFFFF" w:val="clear"/>
          <w:lang w:val="ru-RU" w:eastAsia="ru-RU" w:bidi="ar-SA"/>
        </w:rPr>
        <w:t xml:space="preserve"> </w:t>
      </w:r>
    </w:p>
    <w:p>
      <w:pPr>
        <w:pStyle w:val="Normal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left"/>
        <w:rPr>
          <w:rFonts w:ascii="Times New Roman" w:hAnsi="Times New Roman"/>
        </w:rPr>
      </w:pPr>
      <w:r>
        <w:rPr>
          <w:b/>
          <w:bCs/>
          <w:sz w:val="24"/>
          <w:szCs w:val="24"/>
          <w:shd w:fill="FFFFFF" w:val="clear"/>
          <w:lang w:val="ru-RU" w:eastAsia="ru-RU" w:bidi="ar-SA"/>
        </w:rPr>
        <w:t>Определение поставщика осуществляет:</w:t>
      </w:r>
      <w:r>
        <w:rPr>
          <w:rFonts w:eastAsia="Times New Roman"/>
          <w:sz w:val="24"/>
          <w:szCs w:val="24"/>
          <w:shd w:fill="FFFFFF" w:val="clear"/>
          <w:lang w:val="ru-RU" w:eastAsia="ru-RU" w:bidi="ar-SA"/>
        </w:rPr>
        <w:t xml:space="preserve"> </w:t>
      </w:r>
      <w:r>
        <w:rPr>
          <w:rFonts w:cs="Times New Roman"/>
          <w:sz w:val="24"/>
          <w:szCs w:val="24"/>
          <w:shd w:fill="FFFFFF" w:val="clear"/>
          <w:lang w:val="ru-RU" w:eastAsia="ru-RU" w:bidi="ar-SA"/>
        </w:rPr>
        <w:t>ОБЛАСТНОЕ КАЗЕННОЕ УЧРЕЖДЕНИЕ "ЦЕНТР ЗАКУПОК КУРСКОЙ ОБЛАСТИ"</w:t>
      </w:r>
      <w:r>
        <w:rPr>
          <w:rFonts w:cs="Arial"/>
          <w:sz w:val="24"/>
          <w:szCs w:val="24"/>
          <w:shd w:fill="FFFFFF" w:val="clear"/>
          <w:lang w:val="ru-RU" w:eastAsia="ru-RU" w:bidi="ar-SA"/>
        </w:rPr>
        <w:br/>
      </w:r>
    </w:p>
    <w:p>
      <w:pPr>
        <w:pStyle w:val="Normal"/>
        <w:jc w:val="left"/>
        <w:rPr/>
      </w:pPr>
      <w:r>
        <w:rPr>
          <w:rFonts w:eastAsia="Times New Roman"/>
          <w:b/>
          <w:bCs/>
          <w:sz w:val="24"/>
          <w:szCs w:val="24"/>
          <w:shd w:fill="FFFFFF" w:val="clear"/>
          <w:lang w:val="ru-RU" w:eastAsia="ru-RU" w:bidi="ar-SA"/>
        </w:rPr>
        <w:t>1. Наименование предмета электронного запроса котировок</w:t>
      </w:r>
      <w:r>
        <w:rPr>
          <w:rFonts w:eastAsia="Times New Roman"/>
          <w:sz w:val="24"/>
          <w:szCs w:val="24"/>
          <w:shd w:fill="FFFFFF" w:val="clear"/>
          <w:lang w:val="ru-RU" w:eastAsia="ru-RU" w:bidi="ar-SA"/>
        </w:rPr>
        <w:t xml:space="preserve"> </w:t>
      </w:r>
      <w:r>
        <w:rPr>
          <w:rStyle w:val="AnyCharacter"/>
          <w:rFonts w:cs="Times New Roman"/>
          <w:b w:val="false"/>
          <w:i w:val="false"/>
          <w:caps w:val="false"/>
          <w:smallCaps w:val="false"/>
          <w:color w:val="212121"/>
          <w:spacing w:val="0"/>
          <w:sz w:val="21"/>
          <w:szCs w:val="24"/>
          <w:shd w:fill="FFFFFF" w:val="clear"/>
          <w:lang w:val="ru-RU" w:eastAsia="ru-RU" w:bidi="ar-SA"/>
        </w:rPr>
        <w:t>Поставка пеленок впитывающих и подгузников для взрослых</w:t>
      </w:r>
    </w:p>
    <w:p>
      <w:pPr>
        <w:pStyle w:val="Normal"/>
        <w:jc w:val="left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left"/>
        <w:rPr/>
      </w:pPr>
      <w:r>
        <w:rPr>
          <w:rFonts w:eastAsia="Times New Roman"/>
          <w:b/>
          <w:bCs/>
          <w:sz w:val="24"/>
          <w:szCs w:val="24"/>
          <w:shd w:fill="FFFFFF" w:val="clear"/>
          <w:lang w:val="en-US" w:eastAsia="ru-RU" w:bidi="ar-SA"/>
        </w:rPr>
        <w:t xml:space="preserve">2. Начальная (максимальная) цена контракта: </w:t>
      </w:r>
      <w:r>
        <w:rPr>
          <w:rStyle w:val="AnyCharacter"/>
          <w:rFonts w:eastAsia="Times New Roman"/>
          <w:b/>
          <w:bCs/>
          <w:i w:val="false"/>
          <w:caps w:val="false"/>
          <w:smallCaps w:val="false"/>
          <w:color w:val="212121"/>
          <w:spacing w:val="0"/>
          <w:sz w:val="21"/>
          <w:szCs w:val="24"/>
          <w:shd w:fill="FFFFFF" w:val="clear"/>
          <w:lang w:val="en-US" w:eastAsia="ru-RU" w:bidi="ar-SA"/>
        </w:rPr>
        <w:t>569 414.00</w:t>
      </w:r>
      <w:r>
        <w:rPr>
          <w:rStyle w:val="AnyCharacter"/>
          <w:rFonts w:eastAsia="Times New Roman"/>
          <w:b/>
          <w:bCs/>
          <w:i w:val="false"/>
          <w:caps w:val="false"/>
          <w:smallCaps w:val="false"/>
          <w:color w:val="000000"/>
          <w:sz w:val="24"/>
          <w:szCs w:val="24"/>
          <w:shd w:fill="FFFFFF" w:val="clear"/>
          <w:lang w:val="en-US" w:eastAsia="ru-RU" w:bidi="ar-SA"/>
        </w:rPr>
        <w:t xml:space="preserve"> </w:t>
      </w:r>
      <w:r>
        <w:rPr>
          <w:rStyle w:val="AnyCharacter"/>
          <w:b/>
          <w:bCs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 w:eastAsia="ru-RU" w:bidi="ar-SA"/>
        </w:rPr>
        <w:t>руб.</w:t>
      </w:r>
      <w:r>
        <w:rPr>
          <w:rFonts w:cs="Arial"/>
          <w:sz w:val="24"/>
          <w:szCs w:val="24"/>
          <w:shd w:fill="FFFFFF" w:val="clear"/>
          <w:lang w:val="en-US" w:eastAsia="ru-RU" w:bidi="ar-SA"/>
        </w:rPr>
        <w:br/>
      </w:r>
    </w:p>
    <w:p>
      <w:pPr>
        <w:pStyle w:val="Normal"/>
        <w:jc w:val="left"/>
        <w:rPr/>
      </w:pPr>
      <w:r>
        <w:rPr>
          <w:rFonts w:eastAsia="Times New Roman"/>
          <w:b/>
          <w:bCs/>
          <w:sz w:val="24"/>
          <w:szCs w:val="24"/>
          <w:shd w:fill="FFFFFF" w:val="clear"/>
          <w:lang w:val="ru-RU" w:eastAsia="ru-RU" w:bidi="ar-SA"/>
        </w:rPr>
        <w:t>3.</w:t>
      </w:r>
      <w:r>
        <w:rPr>
          <w:rFonts w:eastAsia="Times New Roman"/>
          <w:sz w:val="24"/>
          <w:szCs w:val="24"/>
          <w:shd w:fill="FFFFFF" w:val="clear"/>
          <w:lang w:val="ru-RU" w:eastAsia="ru-RU" w:bidi="ar-SA"/>
        </w:rPr>
        <w:t xml:space="preserve"> Дата подведения итогов определения поставщика по электронному запросу котировок 06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z w:val="24"/>
          <w:szCs w:val="24"/>
          <w:shd w:fill="FFFFFF" w:val="clear"/>
          <w:lang w:val="en-US" w:eastAsia="ru-RU" w:bidi="ar-SA"/>
        </w:rPr>
        <w:t>.08.2026</w:t>
      </w:r>
      <w:r>
        <w:rPr>
          <w:rFonts w:cs="Times New Roman"/>
          <w:sz w:val="24"/>
          <w:szCs w:val="24"/>
          <w:lang w:val="ru-RU" w:eastAsia="ru-RU" w:bidi="ar-SA"/>
        </w:rPr>
        <w:br/>
      </w:r>
    </w:p>
    <w:p>
      <w:pPr>
        <w:pStyle w:val="Normal"/>
        <w:jc w:val="left"/>
        <w:rPr/>
      </w:pPr>
      <w:r>
        <w:rPr>
          <w:rFonts w:eastAsia="Times New Roman"/>
          <w:b/>
          <w:bCs/>
          <w:sz w:val="24"/>
          <w:szCs w:val="24"/>
          <w:lang w:val="ru-RU" w:eastAsia="ru-RU" w:bidi="ar-SA"/>
        </w:rPr>
        <w:t>4.</w:t>
      </w:r>
      <w:r>
        <w:rPr>
          <w:rFonts w:eastAsia="Times New Roman"/>
          <w:sz w:val="24"/>
          <w:szCs w:val="24"/>
          <w:lang w:val="ru-RU" w:eastAsia="ru-RU" w:bidi="ar-SA"/>
        </w:rPr>
        <w:t xml:space="preserve"> Состав комиссии по осуществлению закупок. </w:t>
        <w:br/>
        <w:t xml:space="preserve">На заседании комиссии по осуществлению закупок, при подведении итогов определения поставщика присутствовали: </w:t>
        <w:br/>
      </w:r>
    </w:p>
    <w:tbl>
      <w:tblPr>
        <w:tblW w:w="10298" w:type="dxa"/>
        <w:jc w:val="left"/>
        <w:tblInd w:w="-32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535"/>
        <w:gridCol w:w="4762"/>
      </w:tblGrid>
      <w:tr>
        <w:trPr/>
        <w:tc>
          <w:tcPr>
            <w:tcW w:w="5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Председатель комиссии</w:t>
            </w:r>
          </w:p>
        </w:tc>
        <w:tc>
          <w:tcPr>
            <w:tcW w:w="4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Каменева Татьяна Ивановна</w:t>
            </w:r>
          </w:p>
        </w:tc>
      </w:tr>
      <w:tr>
        <w:trPr/>
        <w:tc>
          <w:tcPr>
            <w:tcW w:w="5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Зам. председателя комиссии</w:t>
            </w:r>
          </w:p>
        </w:tc>
        <w:tc>
          <w:tcPr>
            <w:tcW w:w="4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Тимошенко Ирина Сергеевна </w:t>
            </w:r>
          </w:p>
        </w:tc>
      </w:tr>
      <w:tr>
        <w:trPr/>
        <w:tc>
          <w:tcPr>
            <w:tcW w:w="55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4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Лепшеева Анастасия Олеговна </w:t>
            </w:r>
          </w:p>
        </w:tc>
      </w:tr>
      <w:tr>
        <w:trPr/>
        <w:tc>
          <w:tcPr>
            <w:tcW w:w="55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/>
              <w:t>Член комиссии</w:t>
            </w:r>
          </w:p>
        </w:tc>
        <w:tc>
          <w:tcPr>
            <w:tcW w:w="4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Одинцова Елена Леонидовна </w:t>
            </w:r>
          </w:p>
        </w:tc>
      </w:tr>
      <w:tr>
        <w:trPr/>
        <w:tc>
          <w:tcPr>
            <w:tcW w:w="55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Член комиссии</w:t>
            </w:r>
          </w:p>
        </w:tc>
        <w:tc>
          <w:tcPr>
            <w:tcW w:w="4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Зубков Виталий Анатольевич  </w:t>
            </w:r>
          </w:p>
        </w:tc>
      </w:tr>
      <w:tr>
        <w:trPr/>
        <w:tc>
          <w:tcPr>
            <w:tcW w:w="55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/>
              <w:t>Член комиссии</w:t>
            </w:r>
          </w:p>
        </w:tc>
        <w:tc>
          <w:tcPr>
            <w:tcW w:w="4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Кулабухова Лариса Михайловна 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 w:cs="Times New Roman"/>
          <w:b/>
          <w:bCs/>
          <w:sz w:val="24"/>
          <w:szCs w:val="24"/>
          <w:shd w:fill="FFFFFF" w:val="clear"/>
          <w:lang w:val="ru-RU" w:eastAsia="ru-RU" w:bidi="ar-SA"/>
        </w:rPr>
        <w:t>5</w:t>
      </w:r>
      <w:r>
        <w:rPr>
          <w:rFonts w:cs="Times New Roman"/>
          <w:b/>
          <w:bCs/>
          <w:sz w:val="24"/>
          <w:szCs w:val="24"/>
          <w:shd w:fill="FFFFFF" w:val="clear"/>
          <w:lang w:val="ru-RU" w:eastAsia="ru-RU" w:bidi="ar-SA"/>
        </w:rPr>
        <w:t>.</w:t>
      </w:r>
      <w:r>
        <w:rPr>
          <w:rFonts w:eastAsia="Times New Roman"/>
          <w:sz w:val="24"/>
          <w:szCs w:val="24"/>
          <w:shd w:fill="FFFFFF" w:val="clear"/>
          <w:lang w:val="ru-RU" w:eastAsia="ru-RU" w:bidi="ar-SA"/>
        </w:rPr>
        <w:t xml:space="preserve"> По окончании срока подачи заявок на участие в закупке 06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 w:eastAsia="ru-RU" w:bidi="ar-SA"/>
        </w:rPr>
        <w:t xml:space="preserve">.08.2026 </w:t>
      </w:r>
      <w:r>
        <w:rPr>
          <w:rFonts w:cs="Times New Roman"/>
          <w:sz w:val="24"/>
          <w:szCs w:val="24"/>
          <w:shd w:fill="FFFFFF" w:val="clear"/>
          <w:lang w:val="ru-RU" w:eastAsia="ru-RU" w:bidi="ar-SA"/>
        </w:rPr>
        <w:t>09:00</w:t>
      </w:r>
      <w:r>
        <w:rPr>
          <w:rFonts w:eastAsia="Times New Roman" w:cs="Times New Roman"/>
          <w:sz w:val="24"/>
          <w:szCs w:val="24"/>
          <w:shd w:fill="FFFFFF" w:val="clear"/>
          <w:lang w:val="ru-RU" w:eastAsia="ru-RU" w:bidi="ar-SA"/>
        </w:rPr>
        <w:t xml:space="preserve"> ч. </w:t>
      </w:r>
      <w:r>
        <w:rPr>
          <w:sz w:val="24"/>
          <w:szCs w:val="24"/>
          <w:shd w:fill="FFFFFF" w:val="clear"/>
          <w:lang w:val="ru-RU" w:eastAsia="ru-RU" w:bidi="ar-SA"/>
        </w:rPr>
        <w:t xml:space="preserve">было подано 2 </w:t>
      </w:r>
      <w:r>
        <w:rPr>
          <w:rFonts w:cs="Times New Roman"/>
          <w:sz w:val="24"/>
          <w:szCs w:val="24"/>
          <w:shd w:fill="FFFFFF" w:val="clear"/>
          <w:lang w:val="ru-RU" w:eastAsia="ru-RU" w:bidi="ar-SA"/>
        </w:rPr>
        <w:t>заявки.</w:t>
      </w:r>
    </w:p>
    <w:p>
      <w:pPr>
        <w:pStyle w:val="Normal"/>
        <w:jc w:val="both"/>
        <w:rPr/>
      </w:pPr>
      <w:r>
        <w:rPr>
          <w:rFonts w:eastAsia="Times New Roman" w:cs="Times New Roman"/>
          <w:b/>
          <w:bCs/>
          <w:sz w:val="24"/>
          <w:szCs w:val="24"/>
          <w:lang w:val="ru-RU" w:eastAsia="ru-RU" w:bidi="ar-SA"/>
        </w:rPr>
        <w:t>6</w:t>
      </w:r>
      <w:r>
        <w:rPr>
          <w:rFonts w:cs="Times New Roman"/>
          <w:b/>
          <w:bCs/>
          <w:sz w:val="24"/>
          <w:szCs w:val="24"/>
          <w:lang w:val="ru-RU" w:eastAsia="ru-RU" w:bidi="ar-SA"/>
        </w:rPr>
        <w:t>.</w:t>
      </w:r>
      <w:r>
        <w:rPr>
          <w:rFonts w:eastAsia="Times New Roman"/>
          <w:sz w:val="24"/>
          <w:szCs w:val="24"/>
          <w:lang w:val="ru-RU" w:eastAsia="ru-RU" w:bidi="ar-SA"/>
        </w:rPr>
        <w:t xml:space="preserve"> 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A"/>
          <w:kern w:val="2"/>
          <w:position w:val="0"/>
          <w:sz w:val="24"/>
          <w:sz w:val="24"/>
          <w:szCs w:val="24"/>
          <w:u w:val="none"/>
          <w:shd w:fill="auto" w:val="clear"/>
          <w:vertAlign w:val="baseline"/>
          <w:lang w:val="ru-RU" w:eastAsia="ru-RU" w:bidi="ar-SA"/>
        </w:rPr>
        <w:t>Комиссия по осуществлению закупок рассмотрела заявку на участие участника запроса котировок в электронной форме, а также информацию и электронные документы участника запроса котировок в электронной форме, предусмотренные пп. 2 и 3 ч.6 ст.43 Федерального закона № 44-ФЗ, на предмет соответствия требованиям Федерального закона № 44-ФЗ и извещения о проведении запроса котировок, в порядке установленном ч.3 ст.50 Федерального закона № 44-ФЗ, и приняла решение:</w:t>
      </w:r>
    </w:p>
    <w:tbl>
      <w:tblPr>
        <w:tblW w:w="10350" w:type="dxa"/>
        <w:jc w:val="left"/>
        <w:tblInd w:w="-9" w:type="dxa"/>
        <w:tblLayout w:type="fixed"/>
        <w:tblCellMar>
          <w:top w:w="0" w:type="dxa"/>
          <w:left w:w="5" w:type="dxa"/>
          <w:bottom w:w="0" w:type="dxa"/>
          <w:right w:w="0" w:type="dxa"/>
        </w:tblCellMar>
      </w:tblPr>
      <w:tblGrid>
        <w:gridCol w:w="1907"/>
        <w:gridCol w:w="4393"/>
        <w:gridCol w:w="4050"/>
      </w:tblGrid>
      <w:tr>
        <w:trPr/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sz w:val="24"/>
                <w:szCs w:val="24"/>
                <w:lang w:val="en-US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en-US" w:eastAsia="ru-RU" w:bidi="ar-SA"/>
              </w:rPr>
              <w:t>Идентификационный номер заявки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sz w:val="24"/>
                <w:szCs w:val="24"/>
                <w:lang w:val="en-US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en-US" w:eastAsia="ru-RU" w:bidi="ar-SA"/>
              </w:rPr>
              <w:t>Решение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>Основание решения</w:t>
            </w:r>
          </w:p>
        </w:tc>
      </w:tr>
      <w:tr>
        <w:trPr/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LOnormal1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Liberation Serif;Times New Roman" w:hAnsi="Liberation Serif;Times New Roman" w:eastAsia="Times New Roman" w:cs="Liberation Serif;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  <w:lang w:val="ru-RU"/>
              </w:rPr>
            </w:pPr>
            <w:r>
              <w:rPr>
                <w:rFonts w:eastAsia="Times New Roman"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  <w:lang w:val="ru-RU"/>
              </w:rPr>
              <w:t>1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cs="Times New Roman"/>
                <w:b w:val="false"/>
                <w:b w:val="false"/>
                <w:sz w:val="24"/>
                <w:szCs w:val="24"/>
                <w:lang w:val="en-US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lang w:val="en-US" w:eastAsia="ru-RU" w:bidi="ar-SA"/>
              </w:rPr>
              <w:t>Соответствует требованиям, установленным в извещении об осуществлении закупки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cs="Times New Roman"/>
                <w:b w:val="false"/>
                <w:b w:val="false"/>
                <w:sz w:val="24"/>
                <w:szCs w:val="24"/>
                <w:shd w:fill="FFFFFF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FFFFFF" w:val="clear"/>
                <w:lang w:val="ru-RU" w:eastAsia="ru-RU" w:bidi="ar-SA"/>
              </w:rPr>
              <w:t>____</w:t>
            </w:r>
          </w:p>
        </w:tc>
      </w:tr>
      <w:tr>
        <w:trPr/>
        <w:tc>
          <w:tcPr>
            <w:tcW w:w="19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LOnormal1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ascii="Liberation Serif;Times New Roman" w:hAnsi="Liberation Serif;Times New Roman" w:eastAsia="Liberation Serif;Times New Roman" w:cs="Liberation Serif;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  <w:lang w:val="ru-RU"/>
              </w:rPr>
            </w:pPr>
            <w:r>
              <w:rPr>
                <w:rFonts w:eastAsia="Liberation Serif;Times New Roman"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kern w:val="0"/>
                <w:position w:val="0"/>
                <w:sz w:val="24"/>
                <w:sz w:val="24"/>
                <w:szCs w:val="24"/>
                <w:u w:val="none"/>
                <w:vertAlign w:val="baseline"/>
                <w:lang w:val="ru-RU"/>
              </w:rPr>
              <w:t>2</w:t>
            </w:r>
          </w:p>
        </w:tc>
        <w:tc>
          <w:tcPr>
            <w:tcW w:w="43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cs="Times New Roman"/>
                <w:b w:val="false"/>
                <w:b w:val="false"/>
                <w:sz w:val="24"/>
                <w:szCs w:val="24"/>
                <w:lang w:val="en-US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highlight w:val="white"/>
                <w:shd w:fill="auto" w:val="clear"/>
                <w:lang w:val="en-US" w:eastAsia="ru-RU" w:bidi="ar-SA"/>
              </w:rPr>
              <w:t>Соответствует требованиям, установленным в извещении об осуществлении закупки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cs="Times New Roman"/>
                <w:b w:val="false"/>
                <w:b w:val="false"/>
                <w:sz w:val="24"/>
                <w:szCs w:val="24"/>
                <w:shd w:fill="FFFFFF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bCs w:val="false"/>
                <w:i w:val="false"/>
                <w:iCs w:val="false"/>
                <w:caps w:val="false"/>
                <w:smallCaps w:val="false"/>
                <w:color w:val="000000"/>
                <w:sz w:val="24"/>
                <w:szCs w:val="24"/>
                <w:shd w:fill="FFFFFF" w:val="clear"/>
                <w:lang w:val="ru-RU" w:eastAsia="ru-RU" w:bidi="ar-SA"/>
              </w:rPr>
              <w:t>____</w:t>
            </w:r>
          </w:p>
        </w:tc>
      </w:tr>
    </w:tbl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left"/>
        <w:rPr/>
      </w:pPr>
      <w:r>
        <w:rPr>
          <w:sz w:val="24"/>
          <w:szCs w:val="24"/>
          <w:lang w:val="ru-RU" w:eastAsia="ru-RU" w:bidi="ar-SA"/>
        </w:rPr>
        <w:t>Сведения о решении каждого члена комиссии по осуществлению закупок</w:t>
      </w:r>
      <w:r>
        <w:rPr>
          <w:rFonts w:eastAsia="Times New Roman"/>
          <w:sz w:val="24"/>
          <w:szCs w:val="24"/>
          <w:lang w:val="ru-RU" w:eastAsia="ru-RU" w:bidi="ar-SA"/>
        </w:rPr>
        <w:t>:</w:t>
      </w:r>
      <w:r>
        <w:rPr>
          <w:rFonts w:eastAsia="Arial"/>
          <w:sz w:val="24"/>
          <w:szCs w:val="24"/>
          <w:lang w:val="ru-RU" w:eastAsia="ru-RU" w:bidi="ar-SA"/>
        </w:rPr>
        <w:t xml:space="preserve"> </w:t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270" w:type="dxa"/>
        <w:jc w:val="left"/>
        <w:tblInd w:w="-9" w:type="dxa"/>
        <w:tblLayout w:type="fixed"/>
        <w:tblCellMar>
          <w:top w:w="0" w:type="dxa"/>
          <w:left w:w="5" w:type="dxa"/>
          <w:bottom w:w="0" w:type="dxa"/>
          <w:right w:w="0" w:type="dxa"/>
        </w:tblCellMar>
      </w:tblPr>
      <w:tblGrid>
        <w:gridCol w:w="6419"/>
        <w:gridCol w:w="3850"/>
      </w:tblGrid>
      <w:tr>
        <w:trPr/>
        <w:tc>
          <w:tcPr>
            <w:tcW w:w="6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cs="Times New Roman"/>
                <w:b/>
                <w:b/>
                <w:sz w:val="24"/>
                <w:szCs w:val="24"/>
                <w:shd w:fill="FFFFFF" w:val="clear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shd w:fill="FFFFFF" w:val="clear"/>
                <w:lang w:val="ru-RU" w:eastAsia="ru-RU" w:bidi="ar-SA"/>
              </w:rPr>
              <w:t>ФИО членов комиссии</w:t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cs="Times New Roman"/>
                <w:b/>
                <w:sz w:val="24"/>
                <w:szCs w:val="24"/>
                <w:shd w:fill="FFFFFF" w:val="clear"/>
                <w:lang w:val="ru-RU" w:eastAsia="ru-RU" w:bidi="ar-SA"/>
              </w:rPr>
              <w:t>Заявка №</w:t>
            </w:r>
            <w:r>
              <w:rPr>
                <w:rFonts w:eastAsia="Times New Roman"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kern w:val="0"/>
                <w:position w:val="0"/>
                <w:sz w:val="24"/>
                <w:sz w:val="24"/>
                <w:szCs w:val="24"/>
                <w:u w:val="none"/>
                <w:shd w:fill="FFFFFF" w:val="clear"/>
                <w:vertAlign w:val="baseline"/>
                <w:lang w:val="ru-RU" w:eastAsia="ru-RU" w:bidi="ar-SA"/>
              </w:rPr>
              <w:t xml:space="preserve"> 1</w:t>
            </w:r>
          </w:p>
          <w:p>
            <w:pPr>
              <w:pStyle w:val="Normal"/>
              <w:widowControl w:val="false"/>
              <w:jc w:val="left"/>
              <w:rPr>
                <w:rFonts w:cs="Times New Roman"/>
                <w:b/>
                <w:b/>
                <w:sz w:val="24"/>
                <w:szCs w:val="24"/>
                <w:shd w:fill="FFFFFF" w:val="clear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shd w:fill="FFFFFF" w:val="clear"/>
                <w:lang w:val="ru-RU" w:eastAsia="ru-RU" w:bidi="ar-SA"/>
              </w:rPr>
            </w:r>
          </w:p>
        </w:tc>
      </w:tr>
      <w:tr>
        <w:trPr/>
        <w:tc>
          <w:tcPr>
            <w:tcW w:w="64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left"/>
              <w:rPr>
                <w:rFonts w:cs="Times New Roman"/>
                <w:b/>
                <w:b/>
                <w:sz w:val="24"/>
                <w:szCs w:val="24"/>
                <w:shd w:fill="FFFFFF" w:val="clear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shd w:fill="FFFFFF" w:val="clear"/>
                <w:lang w:val="ru-RU" w:eastAsia="ru-RU" w:bidi="ar-SA"/>
              </w:rPr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cs="Times New Roman"/>
                <w:b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>Решение</w:t>
            </w:r>
          </w:p>
        </w:tc>
      </w:tr>
      <w:tr>
        <w:trPr/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Каменева Татьяна Ивановна</w:t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cs="Times New Roman"/>
                <w:b w:val="false"/>
                <w:b w:val="false"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Тимошенко Ирина Сергеевна </w:t>
            </w:r>
          </w:p>
        </w:tc>
        <w:tc>
          <w:tcPr>
            <w:tcW w:w="3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cs="Times New Roman"/>
                <w:b w:val="false"/>
                <w:b w:val="false"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Лепшеева Анастасия Олеговна  </w:t>
            </w:r>
          </w:p>
        </w:tc>
        <w:tc>
          <w:tcPr>
            <w:tcW w:w="3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cs="Times New Roman"/>
                <w:b w:val="false"/>
                <w:b w:val="false"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Одинцова Елена Леонидовна </w:t>
            </w:r>
          </w:p>
        </w:tc>
        <w:tc>
          <w:tcPr>
            <w:tcW w:w="3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cs="Times New Roman"/>
                <w:b w:val="false"/>
                <w:b w:val="false"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/>
              <w:t>Зубков Виталий Анатольевич</w:t>
            </w:r>
          </w:p>
        </w:tc>
        <w:tc>
          <w:tcPr>
            <w:tcW w:w="3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cs="Times New Roman"/>
                <w:b w:val="false"/>
                <w:b w:val="false"/>
                <w:sz w:val="24"/>
                <w:szCs w:val="24"/>
                <w:lang w:val="ru-RU" w:eastAsia="ru-RU" w:bidi="ar-SA"/>
              </w:rPr>
            </w:pPr>
            <w:r>
              <w:rPr/>
              <w:t>Соответствует</w:t>
            </w:r>
          </w:p>
        </w:tc>
      </w:tr>
      <w:tr>
        <w:trPr/>
        <w:tc>
          <w:tcPr>
            <w:tcW w:w="641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Кулабухова Лариса Михайловна</w:t>
            </w:r>
          </w:p>
        </w:tc>
        <w:tc>
          <w:tcPr>
            <w:tcW w:w="3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cs="Times New Roman"/>
                <w:b w:val="false"/>
                <w:b w:val="false"/>
                <w:sz w:val="24"/>
                <w:szCs w:val="24"/>
                <w:lang w:val="ru-RU" w:eastAsia="ru-RU" w:bidi="ar-SA"/>
              </w:rPr>
            </w:pPr>
            <w:r>
              <w:rPr/>
              <w:t>Соответствует</w:t>
            </w:r>
          </w:p>
        </w:tc>
      </w:tr>
    </w:tbl>
    <w:p>
      <w:pPr>
        <w:pStyle w:val="Normal"/>
        <w:jc w:val="center"/>
        <w:rPr>
          <w:color w:val="000000"/>
          <w:sz w:val="24"/>
          <w:szCs w:val="24"/>
          <w:shd w:fill="00B8FF" w:val="clear"/>
        </w:rPr>
      </w:pPr>
      <w:r>
        <w:rPr>
          <w:color w:val="000000"/>
          <w:sz w:val="24"/>
          <w:szCs w:val="24"/>
          <w:shd w:fill="00B8FF" w:val="clear"/>
        </w:rPr>
      </w:r>
    </w:p>
    <w:p>
      <w:pPr>
        <w:pStyle w:val="Normal"/>
        <w:jc w:val="center"/>
        <w:rPr>
          <w:color w:val="000000"/>
          <w:sz w:val="24"/>
          <w:szCs w:val="24"/>
          <w:shd w:fill="00B8FF" w:val="clear"/>
        </w:rPr>
      </w:pPr>
      <w:r>
        <w:rPr>
          <w:color w:val="000000"/>
          <w:sz w:val="24"/>
          <w:szCs w:val="24"/>
          <w:shd w:fill="00B8FF" w:val="clear"/>
        </w:rPr>
      </w:r>
    </w:p>
    <w:tbl>
      <w:tblPr>
        <w:tblW w:w="10270" w:type="dxa"/>
        <w:jc w:val="left"/>
        <w:tblInd w:w="-9" w:type="dxa"/>
        <w:tblLayout w:type="fixed"/>
        <w:tblCellMar>
          <w:top w:w="0" w:type="dxa"/>
          <w:left w:w="5" w:type="dxa"/>
          <w:bottom w:w="0" w:type="dxa"/>
          <w:right w:w="0" w:type="dxa"/>
        </w:tblCellMar>
      </w:tblPr>
      <w:tblGrid>
        <w:gridCol w:w="6418"/>
        <w:gridCol w:w="3851"/>
      </w:tblGrid>
      <w:tr>
        <w:trPr/>
        <w:tc>
          <w:tcPr>
            <w:tcW w:w="6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cs="Times New Roman"/>
                <w:b/>
                <w:b/>
                <w:sz w:val="24"/>
                <w:szCs w:val="24"/>
                <w:shd w:fill="FFFFFF" w:val="clear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shd w:fill="FFFFFF" w:val="clear"/>
                <w:lang w:val="ru-RU" w:eastAsia="ru-RU" w:bidi="ar-SA"/>
              </w:rPr>
              <w:t>ФИО членов комиссии</w:t>
            </w:r>
          </w:p>
        </w:tc>
        <w:tc>
          <w:tcPr>
            <w:tcW w:w="3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cs="Times New Roman"/>
                <w:b/>
                <w:sz w:val="24"/>
                <w:szCs w:val="24"/>
                <w:shd w:fill="FFFFFF" w:val="clear"/>
                <w:lang w:val="ru-RU" w:eastAsia="ru-RU" w:bidi="ar-SA"/>
              </w:rPr>
              <w:t>Заявка №</w:t>
            </w:r>
            <w:r>
              <w:rPr>
                <w:rFonts w:eastAsia="Times New Roman" w:cs="Liberation Serif;Times New Roman" w:ascii="Liberation Serif;Times New Roman" w:hAnsi="Liberation Serif;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kern w:val="0"/>
                <w:position w:val="0"/>
                <w:sz w:val="24"/>
                <w:sz w:val="24"/>
                <w:szCs w:val="24"/>
                <w:u w:val="none"/>
                <w:shd w:fill="FFFFFF" w:val="clear"/>
                <w:vertAlign w:val="baseline"/>
                <w:lang w:val="ru-RU" w:eastAsia="ru-RU" w:bidi="ar-SA"/>
              </w:rPr>
              <w:t xml:space="preserve"> 2</w:t>
            </w:r>
          </w:p>
          <w:p>
            <w:pPr>
              <w:pStyle w:val="Normal"/>
              <w:widowControl w:val="false"/>
              <w:jc w:val="left"/>
              <w:rPr>
                <w:rFonts w:cs="Times New Roman"/>
                <w:b/>
                <w:b/>
                <w:sz w:val="24"/>
                <w:szCs w:val="24"/>
                <w:shd w:fill="FFFFFF" w:val="clear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shd w:fill="FFFFFF" w:val="clear"/>
                <w:lang w:val="ru-RU" w:eastAsia="ru-RU" w:bidi="ar-SA"/>
              </w:rPr>
            </w:r>
          </w:p>
        </w:tc>
      </w:tr>
      <w:tr>
        <w:trPr/>
        <w:tc>
          <w:tcPr>
            <w:tcW w:w="64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left"/>
              <w:rPr>
                <w:rFonts w:cs="Times New Roman"/>
                <w:b/>
                <w:b/>
                <w:sz w:val="24"/>
                <w:szCs w:val="24"/>
                <w:shd w:fill="FFFFFF" w:val="clear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shd w:fill="FFFFFF" w:val="clear"/>
                <w:lang w:val="ru-RU" w:eastAsia="ru-RU" w:bidi="ar-SA"/>
              </w:rPr>
            </w:r>
          </w:p>
        </w:tc>
        <w:tc>
          <w:tcPr>
            <w:tcW w:w="3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cs="Times New Roman"/>
                <w:b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>Решение</w:t>
            </w:r>
          </w:p>
        </w:tc>
      </w:tr>
      <w:tr>
        <w:trPr/>
        <w:tc>
          <w:tcPr>
            <w:tcW w:w="6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Каменева Татьяна Ивановна</w:t>
            </w:r>
          </w:p>
        </w:tc>
        <w:tc>
          <w:tcPr>
            <w:tcW w:w="3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cs="Times New Roman"/>
                <w:b w:val="false"/>
                <w:b w:val="false"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Тимошенко Ирина Сергеевна </w:t>
            </w:r>
          </w:p>
        </w:tc>
        <w:tc>
          <w:tcPr>
            <w:tcW w:w="3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cs="Times New Roman"/>
                <w:b w:val="false"/>
                <w:b w:val="false"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Лепшеева Анастасия Олеговна  </w:t>
            </w:r>
          </w:p>
        </w:tc>
        <w:tc>
          <w:tcPr>
            <w:tcW w:w="3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cs="Times New Roman"/>
                <w:b w:val="false"/>
                <w:b w:val="false"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Одинцова Елена Леонидовна </w:t>
            </w:r>
          </w:p>
        </w:tc>
        <w:tc>
          <w:tcPr>
            <w:tcW w:w="3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cs="Times New Roman"/>
                <w:b w:val="false"/>
                <w:b w:val="false"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/>
              <w:t>Зубков Виталий Анатольевич</w:t>
            </w:r>
          </w:p>
        </w:tc>
        <w:tc>
          <w:tcPr>
            <w:tcW w:w="3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cs="Times New Roman"/>
                <w:b w:val="false"/>
                <w:b w:val="false"/>
                <w:sz w:val="24"/>
                <w:szCs w:val="24"/>
                <w:lang w:val="ru-RU" w:eastAsia="ru-RU" w:bidi="ar-SA"/>
              </w:rPr>
            </w:pPr>
            <w:r>
              <w:rPr/>
              <w:t>Соответствует</w:t>
            </w:r>
          </w:p>
        </w:tc>
      </w:tr>
      <w:tr>
        <w:trPr/>
        <w:tc>
          <w:tcPr>
            <w:tcW w:w="64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Кулабухова Лариса Михайловна</w:t>
            </w:r>
          </w:p>
        </w:tc>
        <w:tc>
          <w:tcPr>
            <w:tcW w:w="3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cs="Times New Roman"/>
                <w:b w:val="false"/>
                <w:b w:val="false"/>
                <w:sz w:val="24"/>
                <w:szCs w:val="24"/>
                <w:lang w:val="ru-RU" w:eastAsia="ru-RU" w:bidi="ar-SA"/>
              </w:rPr>
            </w:pPr>
            <w:r>
              <w:rPr/>
              <w:t>Соответствует</w:t>
            </w:r>
          </w:p>
        </w:tc>
      </w:tr>
    </w:tbl>
    <w:p>
      <w:pPr>
        <w:pStyle w:val="Normal"/>
        <w:jc w:val="left"/>
        <w:rPr>
          <w:rFonts w:eastAsia="Times New Roman" w:cs="Times New Roman"/>
          <w:b/>
          <w:b/>
          <w:bCs/>
          <w:sz w:val="24"/>
          <w:szCs w:val="24"/>
          <w:lang w:val="ru-RU" w:eastAsia="ru-RU" w:bidi="ar-SA"/>
        </w:rPr>
      </w:pPr>
      <w:r>
        <w:rPr>
          <w:rFonts w:eastAsia="Times New Roman" w:cs="Times New Roman"/>
          <w:b/>
          <w:bCs/>
          <w:sz w:val="24"/>
          <w:szCs w:val="24"/>
          <w:lang w:val="ru-RU" w:eastAsia="ru-RU" w:bidi="ar-SA"/>
        </w:rPr>
      </w:r>
    </w:p>
    <w:p>
      <w:pPr>
        <w:pStyle w:val="Normal"/>
        <w:jc w:val="left"/>
        <w:rPr/>
      </w:pPr>
      <w:r>
        <w:rPr>
          <w:rFonts w:eastAsia="Times New Roman" w:cs="Times New Roman"/>
          <w:b/>
          <w:bCs/>
          <w:sz w:val="24"/>
          <w:szCs w:val="24"/>
          <w:lang w:val="ru-RU" w:eastAsia="ru-RU" w:bidi="ar-SA"/>
        </w:rPr>
        <w:t>7</w:t>
      </w:r>
      <w:bookmarkStart w:id="0" w:name="_Hlk88140206"/>
      <w:r>
        <w:rPr>
          <w:rFonts w:cs="Times New Roman"/>
          <w:b/>
          <w:bCs/>
          <w:sz w:val="24"/>
          <w:szCs w:val="24"/>
          <w:lang w:val="ru-RU" w:eastAsia="ru-RU" w:bidi="ar-SA"/>
        </w:rPr>
        <w:t>.</w:t>
      </w:r>
      <w:r>
        <w:rPr>
          <w:rFonts w:eastAsia="Times New Roman"/>
          <w:sz w:val="24"/>
          <w:szCs w:val="24"/>
          <w:lang w:val="ru-RU" w:eastAsia="ru-RU" w:bidi="ar-SA"/>
        </w:rPr>
        <w:t xml:space="preserve"> </w:t>
      </w:r>
      <w:r>
        <w:rPr>
          <w:sz w:val="24"/>
          <w:szCs w:val="24"/>
          <w:lang w:val="ru-RU" w:eastAsia="ru-RU" w:bidi="ar-SA"/>
        </w:rPr>
        <w:t>На основании информации, содержащейся в прот</w:t>
      </w:r>
      <w:r>
        <w:rPr>
          <w:rFonts w:eastAsia="Times New Roman"/>
          <w:sz w:val="24"/>
          <w:szCs w:val="24"/>
          <w:lang w:val="ru-RU" w:eastAsia="ru-RU" w:bidi="ar-SA"/>
        </w:rPr>
        <w:t>околе подачи ценовых предложений, а также результатов рассмотрения</w:t>
      </w:r>
      <w:r>
        <w:rPr>
          <w:rFonts w:cs="Times New Roman"/>
          <w:sz w:val="24"/>
          <w:szCs w:val="24"/>
          <w:lang w:val="ru-RU" w:eastAsia="ru-RU" w:bidi="ar-SA"/>
        </w:rPr>
        <w:t>,</w:t>
      </w:r>
      <w:r>
        <w:rPr>
          <w:sz w:val="24"/>
          <w:szCs w:val="24"/>
          <w:lang w:val="ru-RU" w:eastAsia="ru-RU" w:bidi="ar-SA"/>
        </w:rPr>
        <w:t xml:space="preserve"> комиссией присвоены порядковые номера заявкам, соответствующим извещению</w:t>
      </w:r>
      <w:r>
        <w:rPr>
          <w:rFonts w:eastAsia="Times New Roman"/>
          <w:sz w:val="24"/>
          <w:szCs w:val="24"/>
          <w:lang w:val="ru-RU" w:eastAsia="ru-RU" w:bidi="ar-SA"/>
        </w:rPr>
        <w:t xml:space="preserve"> </w:t>
      </w:r>
      <w:r>
        <w:rPr>
          <w:sz w:val="24"/>
          <w:szCs w:val="24"/>
          <w:lang w:val="ru-RU" w:eastAsia="ru-RU" w:bidi="ar-SA"/>
        </w:rPr>
        <w:t>об осуществлении закупки</w:t>
      </w:r>
      <w:r>
        <w:rPr>
          <w:rFonts w:eastAsia="Times New Roman"/>
          <w:sz w:val="24"/>
          <w:szCs w:val="24"/>
          <w:lang w:val="ru-RU" w:eastAsia="ru-RU" w:bidi="ar-SA"/>
        </w:rPr>
        <w:t>:</w:t>
      </w:r>
      <w:bookmarkEnd w:id="0"/>
    </w:p>
    <w:p>
      <w:pPr>
        <w:pStyle w:val="Normal"/>
        <w:jc w:val="left"/>
        <w:rPr>
          <w:rFonts w:eastAsia="Times New Roman"/>
          <w:sz w:val="24"/>
          <w:szCs w:val="24"/>
          <w:lang w:val="ru-RU" w:eastAsia="ru-RU" w:bidi="ar-SA"/>
        </w:rPr>
      </w:pPr>
      <w:r>
        <w:rPr>
          <w:rFonts w:eastAsia="Times New Roman"/>
          <w:sz w:val="24"/>
          <w:szCs w:val="24"/>
          <w:lang w:val="ru-RU" w:eastAsia="ru-RU" w:bidi="ar-SA"/>
        </w:rPr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350" w:type="dxa"/>
        <w:jc w:val="left"/>
        <w:tblInd w:w="-9" w:type="dxa"/>
        <w:tblLayout w:type="fixed"/>
        <w:tblCellMar>
          <w:top w:w="0" w:type="dxa"/>
          <w:left w:w="5" w:type="dxa"/>
          <w:bottom w:w="0" w:type="dxa"/>
          <w:right w:w="0" w:type="dxa"/>
        </w:tblCellMar>
      </w:tblPr>
      <w:tblGrid>
        <w:gridCol w:w="3225"/>
        <w:gridCol w:w="3345"/>
        <w:gridCol w:w="3780"/>
      </w:tblGrid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exact" w:line="240"/>
              <w:jc w:val="center"/>
              <w:rPr>
                <w:rFonts w:cs="Times New Roman"/>
                <w:b/>
                <w:b/>
                <w:sz w:val="24"/>
                <w:szCs w:val="24"/>
                <w:lang w:val="en-US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en-US" w:eastAsia="ru-RU" w:bidi="ar-SA"/>
              </w:rPr>
              <w:t>Порядковый номер, присвоенный комиссией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sz w:val="24"/>
                <w:szCs w:val="24"/>
                <w:lang w:val="en-US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en-US" w:eastAsia="ru-RU" w:bidi="ar-SA"/>
              </w:rPr>
              <w:t>Идентификационный номер заявки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cs="Times New Roman"/>
                <w:b/>
                <w:b/>
                <w:sz w:val="24"/>
                <w:szCs w:val="24"/>
                <w:lang w:val="en-US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en-US" w:eastAsia="ru-RU" w:bidi="ar-SA"/>
              </w:rPr>
              <w:t>Предложение о цене контракта (руб)</w:t>
            </w:r>
          </w:p>
        </w:tc>
      </w:tr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Fonts w:eastAsia="Times New Roman" w:cs="Times New Roman"/>
                <w:b w:val="false"/>
                <w:sz w:val="24"/>
                <w:szCs w:val="24"/>
                <w:lang w:val="en-US" w:eastAsia="ru-RU" w:bidi="ar-SA"/>
              </w:rPr>
              <w:t xml:space="preserve"> </w:t>
            </w:r>
            <w:r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  <w:t>1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LOnormal1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kern w:val="0"/>
                <w:sz w:val="24"/>
                <w:szCs w:val="24"/>
                <w:lang w:val="ru-RU" w:eastAsia="ru-RU" w:bidi="ar-SA"/>
              </w:rPr>
              <w:t>4</w:t>
            </w:r>
            <w:r>
              <w:rPr>
                <w:kern w:val="0"/>
                <w:sz w:val="24"/>
                <w:szCs w:val="24"/>
                <w:lang w:val="ru-RU" w:eastAsia="ru-RU" w:bidi="ar-SA"/>
              </w:rPr>
              <w:t>10 000</w:t>
            </w:r>
            <w:r>
              <w:rPr>
                <w:kern w:val="0"/>
                <w:sz w:val="24"/>
                <w:szCs w:val="24"/>
                <w:lang w:val="ru-RU" w:eastAsia="ru-RU" w:bidi="ar-SA"/>
              </w:rPr>
              <w:t>,00</w:t>
            </w:r>
          </w:p>
        </w:tc>
      </w:tr>
      <w:tr>
        <w:trPr/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/>
            </w:pPr>
            <w:r>
              <w:rPr>
                <w:rFonts w:eastAsia="Times New Roman" w:cs="Times New Roman"/>
                <w:b w:val="false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cs="Times New Roman"/>
                <w:b w:val="false"/>
                <w:sz w:val="24"/>
                <w:szCs w:val="24"/>
                <w:lang w:val="ru-RU" w:eastAsia="ru-RU" w:bidi="ar-SA"/>
              </w:rPr>
              <w:t>2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LOnormal1"/>
              <w:keepNext w:val="false"/>
              <w:keepLines w:val="false"/>
              <w:widowControl w:val="false"/>
              <w:spacing w:lineRule="auto" w:line="240" w:before="0" w:after="0"/>
              <w:ind w:left="0" w:right="0" w:hanging="0"/>
              <w:jc w:val="center"/>
              <w:rPr>
                <w:rFonts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u w:val="none"/>
                <w:shd w:fill="auto" w:val="clear"/>
                <w:vertAlign w:val="baseline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ascii="Times New Roman" w:hAnsi="Times New Roman"/>
                <w:sz w:val="24"/>
                <w:szCs w:val="24"/>
                <w:highlight w:val="none"/>
                <w:shd w:fill="auto" w:val="clear"/>
              </w:rPr>
            </w:pPr>
            <w:r>
              <w:rPr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474 900</w:t>
            </w:r>
            <w:r>
              <w:rPr>
                <w:b w:val="false"/>
                <w:i w:val="false"/>
                <w:caps w:val="false"/>
                <w:smallCaps w:val="false"/>
                <w:color w:val="212121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,00</w:t>
            </w: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 xml:space="preserve"> </w:t>
            </w:r>
          </w:p>
        </w:tc>
      </w:tr>
    </w:tbl>
    <w:p>
      <w:pPr>
        <w:pStyle w:val="Normal"/>
        <w:jc w:val="left"/>
        <w:rPr>
          <w:sz w:val="24"/>
          <w:szCs w:val="24"/>
          <w:shd w:fill="81D41A" w:val="clear"/>
        </w:rPr>
      </w:pPr>
      <w:r>
        <w:rPr>
          <w:sz w:val="24"/>
          <w:szCs w:val="24"/>
          <w:shd w:fill="81D41A" w:val="clear"/>
        </w:rPr>
      </w:r>
    </w:p>
    <w:p>
      <w:pPr>
        <w:pStyle w:val="LOnormal"/>
        <w:ind w:left="0" w:right="0" w:hanging="0"/>
        <w:jc w:val="both"/>
        <w:rPr>
          <w:rFonts w:eastAsia="Times New Roman"/>
          <w:b w:val="false"/>
          <w:b w:val="false"/>
          <w:bCs w:val="false"/>
          <w:lang w:val="ru-RU"/>
        </w:rPr>
      </w:pPr>
      <w:r>
        <w:rPr>
          <w:rFonts w:eastAsia="Times New Roman"/>
          <w:b w:val="false"/>
          <w:bCs w:val="false"/>
          <w:lang w:val="ru-RU"/>
        </w:rPr>
        <w:t>Контракт заключается по цене, увеличенной в соответствии со статьей 29 Федерального закона № 44-ФЗ.</w:t>
      </w:r>
    </w:p>
    <w:p>
      <w:pPr>
        <w:pStyle w:val="LOnormal"/>
        <w:ind w:left="0" w:right="0" w:hanging="0"/>
        <w:jc w:val="both"/>
        <w:rPr>
          <w:rFonts w:eastAsia="Times New Roman"/>
          <w:b w:val="false"/>
          <w:b w:val="false"/>
          <w:bCs w:val="false"/>
          <w:lang w:val="ru-RU"/>
        </w:rPr>
      </w:pPr>
      <w:r>
        <w:rPr>
          <w:rFonts w:eastAsia="Times New Roman"/>
          <w:b w:val="false"/>
          <w:bCs w:val="false"/>
          <w:lang w:val="ru-RU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b/>
          <w:bCs/>
          <w:sz w:val="24"/>
          <w:szCs w:val="24"/>
          <w:lang w:val="ru-RU" w:eastAsia="ru-RU" w:bidi="ar-SA"/>
        </w:rPr>
        <w:t>8</w:t>
      </w:r>
      <w:r>
        <w:rPr>
          <w:rFonts w:cs="Times New Roman"/>
          <w:b/>
          <w:bCs/>
          <w:sz w:val="24"/>
          <w:szCs w:val="24"/>
          <w:lang w:val="ru-RU" w:eastAsia="ru-RU" w:bidi="ar-SA"/>
        </w:rPr>
        <w:t xml:space="preserve">. </w:t>
      </w:r>
      <w:r>
        <w:rPr>
          <w:rFonts w:eastAsia="Times New Roman" w:cs="Times New Roman"/>
          <w:b w:val="false"/>
          <w:bCs w:val="false"/>
          <w:sz w:val="24"/>
          <w:szCs w:val="24"/>
          <w:lang w:val="ru-RU" w:eastAsia="ru-RU" w:bidi="ar-SA"/>
        </w:rPr>
        <w:t xml:space="preserve">Настоящий протокол подведения итогов сформирован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</w:t>
      </w:r>
      <w:r>
        <w:rPr>
          <w:rFonts w:eastAsia="Times New Roman"/>
          <w:b w:val="false"/>
          <w:bCs w:val="false"/>
          <w:sz w:val="24"/>
          <w:szCs w:val="24"/>
          <w:lang w:val="ru-RU" w:eastAsia="ru-RU" w:bidi="ar-SA"/>
        </w:rPr>
        <w:t xml:space="preserve">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eastAsia="Times New Roman"/>
          <w:b w:val="false"/>
          <w:b w:val="false"/>
          <w:bCs w:val="false"/>
          <w:lang w:val="ru-RU" w:eastAsia="ru-RU" w:bidi="ar-SA"/>
        </w:rPr>
      </w:pPr>
      <w:r>
        <w:rPr/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Лепшеева Анастасия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00:F7:18:C0:EF:6E:1F:70:26:28:49:0F:4F:F0:DB:84:BC, действителен с 17.03.2026 12:57:15 по 10.06.2027 12:57:15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12:03:14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Тимошенко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00:81:ED:E1:8D:42:86:C6:89:BB:A5:A5:03:06:DD:0A:A0, действителен с 14.05.2026 06:21:42 по 07.08.2027 06:21:42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12:03:30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Каменева Татьяна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61:E2:80:28:BB:D3:0E:19:90:10:DD:E1:C2:E0:24:4B, действителен с 30.04.2026 11:15:28 по 24.07.2027 11:15:28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12:08:20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"ОБЛАСТНОЙ КЛИНИЧЕСКИЙ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Кулабухова Лариса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00:B0:67:97:44:C0:4D:67:10:DD:85:83:EB:9F:C8:28:D2, действителен с 02.09.2025 10:27:31 по 26.11.2026 10:27:31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12:16:51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"ОБЛАСТНОЙ КЛИНИЧЕСКИЙ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Одинцова Елена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78:EF:40:35:B6:D3:BC:82:63:C3:C9:C5:D8:1D:DB:C2, действителен с 26.01.2026 12:35:32 по 21.04.2027 12:35:32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12:18:03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"ОБЛАСТНОЙ КЛИНИЧЕСКИЙ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Зубков Виталий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00:AF:C3:70:F6:D5:55:02:23:E9:B7:4A:69:12:2A:43:DF, действителен с 23.06.2025 07:16:08 по 16.09.2026 07:16:08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12:18:42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Лепшеева Анастасия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00:F7:18:C0:EF:6E:1F:70:26:28:49:0F:4F:F0:DB:84:BC, действителен с 17.03.2026 12:57:15 по 10.06.2027 12:57:15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12:25:38 МСК</w:t>
      </w:r>
    </w:p>
    <w:sectPr>
      <w:type w:val="nextPage"/>
      <w:pgSz w:w="11906" w:h="16838"/>
      <w:pgMar w:left="1077" w:right="567" w:gutter="0" w:header="0" w:top="1077" w:footer="0" w:bottom="964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imes New Roman CYR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SimSun" w:cs="Ari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7"/>
    <w:next w:val="Style18"/>
    <w:qFormat/>
    <w:pPr>
      <w:numPr>
        <w:ilvl w:val="0"/>
        <w:numId w:val="1"/>
      </w:numPr>
      <w:outlineLvl w:val="0"/>
    </w:pPr>
    <w:rPr>
      <w:b/>
      <w:bCs/>
      <w:sz w:val="32"/>
      <w:szCs w:val="32"/>
    </w:rPr>
  </w:style>
  <w:style w:type="paragraph" w:styleId="2">
    <w:name w:val="Heading 2"/>
    <w:basedOn w:val="Style17"/>
    <w:next w:val="Style18"/>
    <w:qFormat/>
    <w:pPr>
      <w:numPr>
        <w:ilvl w:val="1"/>
        <w:numId w:val="1"/>
      </w:numPr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Style17"/>
    <w:next w:val="Style18"/>
    <w:qFormat/>
    <w:pPr>
      <w:numPr>
        <w:ilvl w:val="2"/>
        <w:numId w:val="1"/>
      </w:numPr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DefaultParagraphFont">
    <w:name w:val="Default Paragraph Font"/>
    <w:qFormat/>
    <w:rPr/>
  </w:style>
  <w:style w:type="character" w:styleId="Annotationreference">
    <w:name w:val="annotation reference"/>
    <w:basedOn w:val="DefaultParagraphFont"/>
    <w:qFormat/>
    <w:rPr>
      <w:rFonts w:cs="Times New Roman"/>
      <w:sz w:val="16"/>
      <w:szCs w:val="16"/>
    </w:rPr>
  </w:style>
  <w:style w:type="character" w:styleId="Style11">
    <w:name w:val="Текст примечания Знак"/>
    <w:basedOn w:val="DefaultParagraphFont"/>
    <w:qFormat/>
    <w:rPr>
      <w:rFonts w:cs="Times New Roman"/>
      <w:sz w:val="20"/>
      <w:szCs w:val="20"/>
    </w:rPr>
  </w:style>
  <w:style w:type="character" w:styleId="Style12">
    <w:name w:val="Тема примечания Знак"/>
    <w:basedOn w:val="Style11"/>
    <w:qFormat/>
    <w:rPr>
      <w:rFonts w:cs="Times New Roman"/>
      <w:b/>
      <w:bCs/>
      <w:sz w:val="20"/>
      <w:szCs w:val="20"/>
    </w:rPr>
  </w:style>
  <w:style w:type="character" w:styleId="Style13">
    <w:name w:val="Hyperlink"/>
    <w:basedOn w:val="DefaultParagraphFont"/>
    <w:rPr>
      <w:rFonts w:cs="Times New Roman"/>
      <w:color w:val="000080"/>
      <w:u w:val="single"/>
      <w:lang w:val="zxx" w:eastAsia="zxx" w:bidi="zxx"/>
    </w:rPr>
  </w:style>
  <w:style w:type="character" w:styleId="Strong">
    <w:name w:val="Strong"/>
    <w:qFormat/>
    <w:rPr>
      <w:b/>
    </w:rPr>
  </w:style>
  <w:style w:type="character" w:styleId="Style14">
    <w:name w:val="Цветовое выделение для Текст"/>
    <w:qFormat/>
    <w:rPr>
      <w:rFonts w:ascii="Times New Roman CYR" w:hAnsi="Times New Roman CYR" w:eastAsia="Times New Roman CYR" w:cs="Times New Roman CYR"/>
      <w:sz w:val="24"/>
    </w:rPr>
  </w:style>
  <w:style w:type="character" w:styleId="FontStyle13">
    <w:name w:val="Font Style13"/>
    <w:basedOn w:val="DefaultParagraphFont"/>
    <w:qFormat/>
    <w:rPr>
      <w:rFonts w:ascii="Times New Roman" w:hAnsi="Times New Roman" w:eastAsia="Times New Roman" w:cs="Times New Roman"/>
      <w:sz w:val="26"/>
      <w:szCs w:val="26"/>
    </w:rPr>
  </w:style>
  <w:style w:type="character" w:styleId="AnyCharacter">
    <w:name w:val="any Character"/>
    <w:basedOn w:val="DefaultParagraphFont"/>
    <w:qFormat/>
    <w:rPr>
      <w:rFonts w:ascii="Times New Roman" w:hAnsi="Times New Roman" w:eastAsia="Times New Roman" w:cs="Times New Roman"/>
      <w:sz w:val="20"/>
      <w:szCs w:val="20"/>
    </w:rPr>
  </w:style>
  <w:style w:type="character" w:styleId="Style15">
    <w:name w:val="FollowedHyperlink"/>
    <w:rPr>
      <w:color w:val="800080"/>
      <w:u w:val="single"/>
    </w:rPr>
  </w:style>
  <w:style w:type="character" w:styleId="Style16">
    <w:name w:val="Emphasis"/>
    <w:qFormat/>
    <w:rPr>
      <w:i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Style18">
    <w:name w:val="Body Text"/>
    <w:basedOn w:val="Normal"/>
    <w:pPr>
      <w:spacing w:before="0" w:after="12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Revision">
    <w:name w:val="Revision"/>
    <w:qFormat/>
    <w:pPr>
      <w:widowControl/>
      <w:suppressAutoHyphens w:val="true"/>
      <w:bidi w:val="0"/>
      <w:spacing w:before="0" w:after="0"/>
      <w:ind w:left="0" w:right="0" w:hanging="0"/>
      <w:jc w:val="left"/>
      <w:textAlignment w:val="auto"/>
    </w:pPr>
    <w:rPr>
      <w:rFonts w:ascii="Calibri" w:hAnsi="Calibri" w:eastAsia="Cambria Math" w:cs="Calibri"/>
      <w:color w:val="auto"/>
      <w:kern w:val="2"/>
      <w:sz w:val="22"/>
      <w:szCs w:val="22"/>
      <w:lang w:val="ru-RU" w:eastAsia="ru-RU" w:bidi="ar-SA"/>
    </w:rPr>
  </w:style>
  <w:style w:type="paragraph" w:styleId="Annotationtext">
    <w:name w:val="annotation text"/>
    <w:qFormat/>
    <w:pPr>
      <w:widowControl/>
      <w:suppressAutoHyphens w:val="true"/>
      <w:bidi w:val="0"/>
      <w:spacing w:before="0" w:after="160"/>
      <w:ind w:left="0" w:right="0" w:hanging="0"/>
      <w:jc w:val="left"/>
      <w:textAlignment w:val="auto"/>
    </w:pPr>
    <w:rPr>
      <w:rFonts w:ascii="Calibri" w:hAnsi="Calibri" w:eastAsia="SimSun" w:cs="Arial"/>
      <w:color w:val="auto"/>
      <w:kern w:val="2"/>
      <w:sz w:val="20"/>
      <w:szCs w:val="20"/>
      <w:lang w:val="ru-RU" w:eastAsia="ru-RU" w:bidi="ar-SA"/>
    </w:rPr>
  </w:style>
  <w:style w:type="paragraph" w:styleId="Annotationsubject">
    <w:name w:val="annotation subject"/>
    <w:basedOn w:val="Annotationtext"/>
    <w:qFormat/>
    <w:pPr>
      <w:widowControl/>
      <w:spacing w:before="0" w:after="160"/>
      <w:ind w:left="0" w:right="0" w:hanging="0"/>
      <w:jc w:val="left"/>
      <w:textAlignment w:val="auto"/>
    </w:pPr>
    <w:rPr>
      <w:rFonts w:ascii="Calibri" w:hAnsi="Calibri" w:cs="Calibri"/>
      <w:b/>
      <w:bCs/>
      <w:sz w:val="20"/>
      <w:szCs w:val="20"/>
      <w:lang w:val="ru-RU" w:eastAsia="ru-RU" w:bidi="ar-SA"/>
    </w:rPr>
  </w:style>
  <w:style w:type="paragraph" w:styleId="Style22">
    <w:name w:val="Содержимое таблицы"/>
    <w:basedOn w:val="Normal"/>
    <w:qFormat/>
    <w:pPr>
      <w:suppressLineNumbers/>
    </w:pPr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paragraph" w:styleId="Standard">
    <w:name w:val="Standard"/>
    <w:qFormat/>
    <w:pPr>
      <w:widowControl/>
      <w:suppressAutoHyphens w:val="true"/>
      <w:bidi w:val="0"/>
      <w:spacing w:lineRule="auto" w:line="240" w:before="0" w:after="60"/>
      <w:jc w:val="both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ru-RU" w:bidi="ar-SA"/>
    </w:rPr>
  </w:style>
  <w:style w:type="paragraph" w:styleId="ConsPlusNormal">
    <w:name w:val="ConsPlusNormal"/>
    <w:qFormat/>
    <w:pPr>
      <w:widowControl w:val="false"/>
      <w:suppressAutoHyphens w:val="true"/>
      <w:bidi w:val="0"/>
      <w:spacing w:lineRule="auto" w:line="360" w:before="0" w:after="0"/>
      <w:ind w:left="0" w:right="0" w:firstLine="720"/>
      <w:jc w:val="left"/>
    </w:pPr>
    <w:rPr>
      <w:rFonts w:ascii="Arial" w:hAnsi="Arial" w:eastAsia="Calibri" w:cs="Times New Roman"/>
      <w:color w:val="auto"/>
      <w:kern w:val="0"/>
      <w:sz w:val="22"/>
      <w:szCs w:val="20"/>
      <w:lang w:val="ru-RU" w:eastAsia="ru-RU" w:bidi="ar-SA"/>
    </w:rPr>
  </w:style>
  <w:style w:type="paragraph" w:styleId="LO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oto Serif CJK SC" w:cs="Lohit Devanagari"/>
      <w:color w:val="00000A"/>
      <w:kern w:val="0"/>
      <w:sz w:val="24"/>
      <w:szCs w:val="24"/>
      <w:lang w:val="ru-RU" w:eastAsia="zh-CN" w:bidi="hi-IN"/>
    </w:rPr>
  </w:style>
  <w:style w:type="paragraph" w:styleId="ListParagraph1">
    <w:name w:val="List Paragraph1"/>
    <w:basedOn w:val="Normal"/>
    <w:qFormat/>
    <w:pPr>
      <w:ind w:left="720" w:right="0" w:hanging="0"/>
    </w:pPr>
    <w:rPr>
      <w:rFonts w:eastAsia="Times New Roman" w:cs="Calibri"/>
    </w:rPr>
  </w:style>
  <w:style w:type="paragraph" w:styleId="LO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oto Serif CJK SC" w:cs="Lohit Devanagari"/>
      <w:color w:val="00000A"/>
      <w:kern w:val="2"/>
      <w:sz w:val="24"/>
      <w:szCs w:val="24"/>
      <w:lang w:val="ru-RU" w:eastAsia="zh-CN" w:bidi="hi-IN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241</TotalTime>
  <Application>LibreOffice/7.4.4.2$Windows_x86 LibreOffice_project/85569322deea74ec9134968a29af2df5663baa21</Application>
  <AppVersion>15.0000</AppVersion>
  <Pages>2</Pages>
  <Words>386</Words>
  <Characters>2880</Characters>
  <CharactersWithSpaces>3222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2021-11-25T11:09:00Z</dcterms:created>
  <dc:creator>paggard</dc:creator>
  <dc:description/>
  <dc:language>ru-RU</dc:language>
  <cp:lastModifiedBy/>
  <cp:lastPrinted>1995-11-21T17:41:00Z</cp:lastPrinted>
  <dcterms:modified xsi:type="dcterms:W3CDTF">2026-08-06T12:02:19Z</dcterms:modified>
  <cp:revision>94</cp:revision>
  <dc:subject/>
  <dc:title>Paggard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Алина Тарасенко</vt:lpwstr>
  </property>
</Properties>
</file>