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9"/>
          <w:tab w:val="left" w:pos="284" w:leader="none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Протокол </w:t>
      </w:r>
    </w:p>
    <w:p>
      <w:pPr>
        <w:pStyle w:val="Heading"/>
        <w:widowControl w:val="false"/>
        <w:numPr>
          <w:ilvl w:val="0"/>
          <w:numId w:val="0"/>
        </w:numPr>
        <w:tabs>
          <w:tab w:val="clear" w:pos="709"/>
          <w:tab w:val="left" w:pos="284" w:leader="none"/>
          <w:tab w:val="left" w:pos="15309" w:leader="none"/>
        </w:tabs>
        <w:outlineLvl w:val="0"/>
        <w:rPr/>
      </w:pPr>
      <w:r>
        <w:rPr>
          <w:caps w:val="false"/>
          <w:smallCaps w:val="false"/>
          <w:sz w:val="22"/>
          <w:szCs w:val="22"/>
        </w:rPr>
        <w:t>подведения итогов определения поставщика (подрядчика, исполнителя) по закупке</w:t>
      </w:r>
      <w:r>
        <w:rPr>
          <w:bCs/>
          <w:caps w:val="false"/>
          <w:smallCaps w:val="false"/>
          <w:sz w:val="22"/>
          <w:szCs w:val="22"/>
        </w:rPr>
        <w:t xml:space="preserve"> </w:t>
      </w:r>
    </w:p>
    <w:p>
      <w:pPr>
        <w:pStyle w:val="Heading"/>
        <w:widowControl w:val="false"/>
        <w:numPr>
          <w:ilvl w:val="0"/>
          <w:numId w:val="0"/>
        </w:numPr>
        <w:tabs>
          <w:tab w:val="clear" w:pos="709"/>
          <w:tab w:val="left" w:pos="284" w:leader="none"/>
          <w:tab w:val="left" w:pos="15309" w:leader="none"/>
        </w:tabs>
        <w:outlineLvl w:val="0"/>
        <w:rPr>
          <w:caps/>
          <w:sz w:val="22"/>
          <w:szCs w:val="22"/>
        </w:rPr>
      </w:pPr>
      <w:r>
        <w:rPr>
          <w:caps/>
          <w:sz w:val="22"/>
          <w:szCs w:val="22"/>
        </w:rPr>
        <w:t>№</w:t>
      </w:r>
      <w:r>
        <w:rPr>
          <w:caps w:val="false"/>
          <w:smallCaps w:val="false"/>
          <w:sz w:val="22"/>
          <w:szCs w:val="22"/>
        </w:rPr>
        <w:t xml:space="preserve"> </w:t>
      </w:r>
      <w:r>
        <w:rPr>
          <w:caps w:val="false"/>
          <w:smallCaps w:val="false"/>
          <w:sz w:val="22"/>
          <w:szCs w:val="22"/>
        </w:rPr>
        <w:t>0154300014626000677</w:t>
      </w:r>
    </w:p>
    <w:p>
      <w:pPr>
        <w:pStyle w:val="Normal"/>
        <w:widowControl w:val="false"/>
        <w:tabs>
          <w:tab w:val="clear" w:pos="709"/>
          <w:tab w:val="left" w:pos="284" w:leader="none"/>
          <w:tab w:val="right" w:pos="10489" w:leader="none"/>
          <w:tab w:val="right" w:pos="15451" w:leader="none"/>
        </w:tabs>
        <w:rPr/>
      </w:pPr>
      <w:r>
        <w:rPr>
          <w:sz w:val="22"/>
          <w:szCs w:val="22"/>
        </w:rPr>
        <w:t>г. Орёл</w:t>
        <w:tab/>
        <w:t>07 августа 2026 года</w:t>
      </w:r>
    </w:p>
    <w:p>
      <w:pPr>
        <w:pStyle w:val="Normal"/>
        <w:widowControl w:val="false"/>
        <w:tabs>
          <w:tab w:val="clear" w:pos="709"/>
          <w:tab w:val="left" w:pos="284" w:leader="none"/>
          <w:tab w:val="right" w:pos="10489" w:leader="none"/>
          <w:tab w:val="right" w:pos="15451" w:leader="none"/>
        </w:tabs>
        <w:jc w:val="both"/>
        <w:rPr>
          <w:sz w:val="22"/>
          <w:szCs w:val="22"/>
        </w:rPr>
      </w:pPr>
      <w:r>
        <w:rPr>
          <w:sz w:val="22"/>
          <w:szCs w:val="22"/>
        </w:rPr>
        <w:t>1.Наименование закупки: Поставка детского и спортивного оборудования (с установкой) (наказы: №48, №49, №81, №83, №87, №138, №268-д, №284-д, №285-д, №287-д, №288-д, №314-д) (далее – запрос котировок).</w:t>
      </w:r>
    </w:p>
    <w:p>
      <w:pPr>
        <w:pStyle w:val="Normal"/>
        <w:tabs>
          <w:tab w:val="clear" w:pos="709"/>
          <w:tab w:val="left" w:pos="284" w:leader="none"/>
        </w:tabs>
        <w:jc w:val="both"/>
        <w:rPr>
          <w:sz w:val="22"/>
          <w:szCs w:val="22"/>
        </w:rPr>
      </w:pPr>
      <w:r>
        <w:rPr>
          <w:sz w:val="22"/>
          <w:szCs w:val="22"/>
        </w:rPr>
        <w:t>2.Заказчик: Муниципальное казенное учреждение «Объединенный муниципальный заказчик города Орла».</w:t>
      </w:r>
    </w:p>
    <w:p>
      <w:pPr>
        <w:pStyle w:val="Normal"/>
        <w:tabs>
          <w:tab w:val="clear" w:pos="709"/>
          <w:tab w:val="left" w:pos="284" w:leader="none"/>
        </w:tabs>
        <w:jc w:val="both"/>
        <w:rPr>
          <w:sz w:val="22"/>
          <w:szCs w:val="22"/>
        </w:rPr>
      </w:pPr>
      <w:r>
        <w:rPr>
          <w:sz w:val="22"/>
          <w:szCs w:val="22"/>
        </w:rPr>
        <w:t>3.Идентификационный код закупки: 263570100087257530100101300013230244.</w:t>
      </w:r>
    </w:p>
    <w:p>
      <w:pPr>
        <w:pStyle w:val="Normal"/>
        <w:widowControl w:val="false"/>
        <w:tabs>
          <w:tab w:val="clear" w:pos="709"/>
          <w:tab w:val="left" w:pos="284" w:leader="none"/>
        </w:tabs>
        <w:suppressAutoHyphens w:val="true"/>
        <w:jc w:val="both"/>
        <w:rPr/>
      </w:pPr>
      <w:r>
        <w:rPr>
          <w:rStyle w:val="Basic"/>
          <w:bCs/>
          <w:spacing w:val="-2"/>
          <w:sz w:val="22"/>
          <w:szCs w:val="22"/>
        </w:rPr>
        <w:t>4.Информация о единой комиссии.</w:t>
      </w:r>
    </w:p>
    <w:tbl>
      <w:tblPr>
        <w:tblW w:w="7934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1"/>
        <w:gridCol w:w="2693"/>
      </w:tblGrid>
      <w:tr>
        <w:trPr/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  <w:tab w:val="left" w:pos="284" w:leader="none"/>
              </w:tabs>
              <w:suppressAutoHyphens w:val="true"/>
              <w:jc w:val="both"/>
              <w:rPr/>
            </w:pPr>
            <w:r>
              <w:rPr>
                <w:rStyle w:val="Basic"/>
                <w:sz w:val="22"/>
                <w:szCs w:val="22"/>
              </w:rPr>
              <w:t>Председатель единой комиссии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rPr/>
            </w:pPr>
            <w:r>
              <w:rPr>
                <w:sz w:val="22"/>
                <w:szCs w:val="22"/>
              </w:rPr>
              <w:t>Родштейн М. В.</w:t>
            </w:r>
          </w:p>
        </w:tc>
      </w:tr>
      <w:tr>
        <w:trPr/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  <w:tab w:val="left" w:pos="284" w:leader="none"/>
              </w:tabs>
              <w:suppressAutoHyphens w:val="true"/>
              <w:jc w:val="both"/>
              <w:rPr/>
            </w:pPr>
            <w:r>
              <w:rPr>
                <w:rStyle w:val="Basic"/>
                <w:sz w:val="22"/>
                <w:szCs w:val="22"/>
              </w:rPr>
              <w:t>Заместитель председателя единой комиссии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Style w:val="Basic"/>
                <w:sz w:val="22"/>
                <w:szCs w:val="22"/>
              </w:rPr>
              <w:t>Алексютина Т. М.</w:t>
            </w:r>
          </w:p>
        </w:tc>
      </w:tr>
      <w:tr>
        <w:trPr/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  <w:tab w:val="left" w:pos="284" w:leader="none"/>
              </w:tabs>
              <w:suppressAutoHyphens w:val="true"/>
              <w:jc w:val="both"/>
              <w:rPr/>
            </w:pPr>
            <w:r>
              <w:rPr>
                <w:rStyle w:val="Basic"/>
                <w:sz w:val="22"/>
                <w:szCs w:val="22"/>
              </w:rPr>
              <w:t>Секретарь единой комиссии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Style w:val="Basic"/>
                <w:sz w:val="22"/>
                <w:szCs w:val="22"/>
              </w:rPr>
              <w:t>Киреева О. И.</w:t>
            </w:r>
          </w:p>
        </w:tc>
      </w:tr>
      <w:tr>
        <w:trPr/>
        <w:tc>
          <w:tcPr>
            <w:tcW w:w="52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  <w:tab w:val="left" w:pos="284" w:leader="none"/>
              </w:tabs>
              <w:suppressAutoHyphens w:val="true"/>
              <w:jc w:val="both"/>
              <w:rPr/>
            </w:pPr>
            <w:r>
              <w:rPr>
                <w:rStyle w:val="Basic"/>
                <w:sz w:val="22"/>
                <w:szCs w:val="22"/>
              </w:rPr>
              <w:t>Члены единой комиссии: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rPr/>
            </w:pPr>
            <w:r>
              <w:rPr>
                <w:sz w:val="22"/>
                <w:szCs w:val="22"/>
              </w:rPr>
              <w:t>Соломкин М. В.</w:t>
            </w:r>
          </w:p>
        </w:tc>
      </w:tr>
      <w:tr>
        <w:trPr/>
        <w:tc>
          <w:tcPr>
            <w:tcW w:w="52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  <w:tab w:val="left" w:pos="284" w:leader="none"/>
              </w:tabs>
              <w:suppressAutoHyphens w:val="true"/>
              <w:snapToGrid w:val="false"/>
              <w:jc w:val="both"/>
              <w:rPr>
                <w:rStyle w:val="Basic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rPr/>
            </w:pPr>
            <w:r>
              <w:rPr>
                <w:sz w:val="22"/>
                <w:szCs w:val="22"/>
              </w:rPr>
              <w:t>Хохлов Д. С.</w:t>
            </w:r>
          </w:p>
        </w:tc>
      </w:tr>
      <w:tr>
        <w:trPr/>
        <w:tc>
          <w:tcPr>
            <w:tcW w:w="52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  <w:tab w:val="left" w:pos="284" w:leader="none"/>
              </w:tabs>
              <w:suppressAutoHyphens w:val="true"/>
              <w:snapToGrid w:val="false"/>
              <w:jc w:val="both"/>
              <w:rPr>
                <w:rStyle w:val="Basic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Доронина С. Е.</w:t>
            </w:r>
          </w:p>
        </w:tc>
      </w:tr>
      <w:tr>
        <w:trPr/>
        <w:tc>
          <w:tcPr>
            <w:tcW w:w="52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  <w:tab w:val="left" w:pos="284" w:leader="none"/>
              </w:tabs>
              <w:suppressAutoHyphens w:val="true"/>
              <w:snapToGrid w:val="false"/>
              <w:jc w:val="both"/>
              <w:rPr>
                <w:rStyle w:val="Basic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  <w:tab w:val="left" w:pos="284" w:leader="none"/>
              </w:tabs>
              <w:suppressAutoHyphens w:val="true"/>
              <w:rPr/>
            </w:pPr>
            <w:r>
              <w:rPr>
                <w:rStyle w:val="Basic"/>
                <w:sz w:val="22"/>
                <w:szCs w:val="22"/>
              </w:rPr>
              <w:t>Сосикова А. Ю.</w:t>
            </w:r>
          </w:p>
        </w:tc>
      </w:tr>
      <w:tr>
        <w:trPr/>
        <w:tc>
          <w:tcPr>
            <w:tcW w:w="52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  <w:tab w:val="left" w:pos="284" w:leader="none"/>
              </w:tabs>
              <w:suppressAutoHyphens w:val="true"/>
              <w:snapToGrid w:val="false"/>
              <w:jc w:val="both"/>
              <w:rPr>
                <w:rStyle w:val="Basic"/>
                <w:sz w:val="22"/>
                <w:szCs w:val="22"/>
              </w:rPr>
            </w:pPr>
            <w:r>
              <w:rPr/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09"/>
                <w:tab w:val="left" w:pos="284" w:leader="none"/>
              </w:tabs>
              <w:suppressAutoHyphens w:val="true"/>
              <w:rPr>
                <w:rStyle w:val="Basic"/>
                <w:sz w:val="22"/>
                <w:szCs w:val="22"/>
              </w:rPr>
            </w:pPr>
            <w:r>
              <w:rPr>
                <w:sz w:val="22"/>
                <w:szCs w:val="22"/>
              </w:rPr>
              <w:t>Ларкина М. А.</w:t>
            </w:r>
          </w:p>
        </w:tc>
      </w:tr>
    </w:tbl>
    <w:p>
      <w:pPr>
        <w:pStyle w:val="Normal"/>
        <w:tabs>
          <w:tab w:val="clear" w:pos="709"/>
          <w:tab w:val="left" w:pos="284" w:leader="none"/>
        </w:tabs>
        <w:suppressAutoHyphens w:val="true"/>
        <w:jc w:val="both"/>
        <w:rPr/>
      </w:pPr>
      <w:r>
        <w:rPr>
          <w:rStyle w:val="Basic"/>
          <w:sz w:val="22"/>
          <w:szCs w:val="22"/>
        </w:rPr>
        <w:t>На заседании единой комиссии присутствовало не менее 50% от общего числа её членов. Кворум обеспечен. Заседание единой комиссии правомочно.</w:t>
      </w:r>
    </w:p>
    <w:p>
      <w:pPr>
        <w:pStyle w:val="Normal"/>
        <w:widowControl w:val="false"/>
        <w:tabs>
          <w:tab w:val="clear" w:pos="709"/>
          <w:tab w:val="left" w:pos="142" w:leader="none"/>
          <w:tab w:val="left" w:pos="284" w:leader="none"/>
        </w:tabs>
        <w:suppressAutoHyphens w:val="true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5.Информация, предусмотренная пунктами 1, 2, 4-7 части 17 статьи 48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Закон):</w:t>
      </w:r>
    </w:p>
    <w:tbl>
      <w:tblPr>
        <w:tblW w:w="10517" w:type="dxa"/>
        <w:jc w:val="left"/>
        <w:tblInd w:w="28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7549"/>
        <w:gridCol w:w="2968"/>
      </w:tblGrid>
      <w:tr>
        <w:trPr>
          <w:tblHeader w:val="true"/>
          <w:trHeight w:val="23" w:hRule="atLeast"/>
        </w:trPr>
        <w:tc>
          <w:tcPr>
            <w:tcW w:w="7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284" w:leader="none"/>
              </w:tabs>
              <w:rPr>
                <w:i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 xml:space="preserve">Идентификационные номера заявок </w:t>
            </w:r>
          </w:p>
        </w:tc>
        <w:tc>
          <w:tcPr>
            <w:tcW w:w="2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284" w:leader="none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</w:tr>
      <w:tr>
        <w:trPr>
          <w:trHeight w:val="23" w:hRule="atLeast"/>
        </w:trPr>
        <w:tc>
          <w:tcPr>
            <w:tcW w:w="7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  <w:tab w:val="left" w:pos="284" w:leader="none"/>
              </w:tabs>
              <w:rPr>
                <w:b/>
                <w:i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Порядковые номера, присвоенные в соответствии с Законом заявкам на участие в запросе котировок.</w:t>
            </w:r>
          </w:p>
        </w:tc>
        <w:tc>
          <w:tcPr>
            <w:tcW w:w="2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284" w:leader="none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</w:tr>
      <w:tr>
        <w:trPr>
          <w:trHeight w:val="910" w:hRule="atLeast"/>
        </w:trPr>
        <w:tc>
          <w:tcPr>
            <w:tcW w:w="7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tabs>
                <w:tab w:val="clear" w:pos="709"/>
                <w:tab w:val="left" w:pos="284" w:leader="none"/>
              </w:tabs>
              <w:rPr/>
            </w:pPr>
            <w:r>
              <w:rPr>
                <w:b/>
                <w:i/>
                <w:sz w:val="22"/>
                <w:szCs w:val="22"/>
              </w:rPr>
              <w:t xml:space="preserve">Решение единой комиссии в отношении каждой заявки на участие в запросе котировок о соответствии извещению о проведении запроса котировок или об отклонении заявки на участие в запросе котировок по основаниям, предусмотренным Законом </w:t>
            </w:r>
          </w:p>
        </w:tc>
        <w:tc>
          <w:tcPr>
            <w:tcW w:w="2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  <w:tab w:val="left" w:pos="284" w:leader="none"/>
              </w:tabs>
              <w:jc w:val="center"/>
              <w:rPr/>
            </w:pPr>
            <w:r>
              <w:rPr>
                <w:b/>
                <w:i/>
                <w:sz w:val="22"/>
                <w:szCs w:val="22"/>
              </w:rPr>
              <w:t>соответствует</w:t>
            </w:r>
          </w:p>
        </w:tc>
      </w:tr>
    </w:tbl>
    <w:p>
      <w:pPr>
        <w:pStyle w:val="Normal"/>
        <w:tabs>
          <w:tab w:val="clear" w:pos="709"/>
          <w:tab w:val="left" w:pos="284" w:leader="none"/>
        </w:tabs>
        <w:suppressAutoHyphens w:val="true"/>
        <w:jc w:val="both"/>
        <w:rPr/>
      </w:pPr>
      <w:r>
        <w:rPr>
          <w:sz w:val="22"/>
          <w:szCs w:val="22"/>
        </w:rPr>
        <w:t>Информация о заключении контракта по цене, увеличенной в соответствии со статьями 28 и 29 Закона: отсутствует увеличение цены контракта (цены каждой единицы товара, работы, услуги) в соответствии со статьями 28 и 29 Закона.</w:t>
      </w:r>
    </w:p>
    <w:p>
      <w:pPr>
        <w:pStyle w:val="Normal"/>
        <w:tabs>
          <w:tab w:val="clear" w:pos="709"/>
          <w:tab w:val="left" w:pos="284" w:leader="none"/>
        </w:tabs>
        <w:suppressAutoHyphens w:val="true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 Решение каждого члена единой комиссии в отношении участника закупки и поданной им единственной заявки соответствует решению единой комиссии. </w:t>
      </w:r>
    </w:p>
    <w:p>
      <w:pPr>
        <w:pStyle w:val="Normal"/>
        <w:tabs>
          <w:tab w:val="clear" w:pos="709"/>
          <w:tab w:val="left" w:pos="284" w:leader="none"/>
        </w:tabs>
        <w:suppressAutoHyphens w:val="true"/>
        <w:jc w:val="both"/>
        <w:rPr>
          <w:sz w:val="22"/>
          <w:szCs w:val="22"/>
        </w:rPr>
      </w:pPr>
      <w:r>
        <w:rPr>
          <w:sz w:val="22"/>
          <w:szCs w:val="22"/>
        </w:rPr>
        <w:t>7. В соответствии с пунктом 1 части 1 статьи 52 Федерального закона от 05.04.2013 г. №44-ФЗ «О контрактной системе в сфере закупок товаров, работ, услуг для обеспечения государственных и муниципальных нужд» открытый конкурентный способ признается несостоявшимся в связи с тем, что по окончании срока подачи заявок на участие в закупке подана только одна заявка на участие в закупке.</w:t>
      </w:r>
    </w:p>
    <w:p>
      <w:pPr>
        <w:pStyle w:val="Normal"/>
        <w:tabs>
          <w:tab w:val="clear" w:pos="709"/>
          <w:tab w:val="left" w:pos="284" w:leader="none"/>
        </w:tabs>
        <w:suppressAutoHyphens w:val="true"/>
        <w:jc w:val="both"/>
        <w:rPr>
          <w:sz w:val="22"/>
          <w:szCs w:val="22"/>
        </w:rPr>
      </w:pPr>
      <w:r>
        <w:rPr>
          <w:sz w:val="22"/>
          <w:szCs w:val="22"/>
        </w:rPr>
        <w:t>8. Настоящий протокол подписан усиленными электронными подписями всех присутствующих членов единой комиссии.</w:t>
      </w:r>
    </w:p>
    <w:p>
      <w:pPr>
        <w:pStyle w:val="Normal"/>
        <w:tabs>
          <w:tab w:val="clear" w:pos="709"/>
          <w:tab w:val="left" w:pos="284" w:leader="none"/>
        </w:tabs>
        <w:suppressAutoHyphens w:val="true"/>
        <w:jc w:val="both"/>
        <w:rPr>
          <w:sz w:val="22"/>
          <w:szCs w:val="22"/>
        </w:rPr>
      </w:pPr>
      <w:r>
        <w:rPr>
          <w:sz w:val="22"/>
          <w:szCs w:val="22"/>
        </w:rPr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ОРЛА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Ларкина Марина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20:13:99:05:A4:E6:24:A3:7F:93:E1:4B:1C:90:6C:3C, действителен с 23.01.2026 12:24:04 по 18.04.2027 12:24:04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10:19:22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"ОБЪЕДИНЕННЫЙ МУНИЦИПАЛЬНЫЙ ЗАКАЗЧИК ГОРОДА ОРЛА"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Доронина Светлана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59:EC:47:18:81:BE:63:EC:D1:A1:69:CE:F2:54:A0:6C, действителен с 09.07.2026 14:02:49 по 02.10.2027 14:02:49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10:33:38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"ОБЪЕДИНЕННЫЙ МУНИЦИПАЛЬНЫЙ ЗАКАЗЧИК ГОРОДА ОРЛА"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Сосикова Алина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7F:5A:BF:D0:82:F8:C9:84:30:91:21:7C:4C:9B:5C:68, действителен с 06.04.2026 06:11:01 по 30.06.2027 06:11:01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10:34:03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"ОБЪЕДИНЕННЫЙ МУНИЦИПАЛЬНЫЙ ЗАКАЗЧИК ГОРОДА ОРЛА"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Хохлов Денис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00:C5:A8:63:77:31:07:13:F1:DC:58:9B:2A:7A:0B:0E:64, действителен с 22.05.2026 11:44:32 по 15.08.2027 11:44:32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10:34:22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СТРОИТЕЛЬСТВА,ДОРОЖНОГО ХОЗЯЙСТВА И БЛАГОУСТРОЙСТВА АДМИНИСТРАЦИИ ГОРОДА ОРЛА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Соломкин Михаил Витальевич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50:C5:CD:E5:B2:CF:E9:CF:F4:74:6F:04:F2:FC:D3:01, действителен с 02.12.2025 08:56:16 по 25.02.2027 08:56:16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11:38:12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ОРЛА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Старовойтов Александр Борисович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00:C9:4B:03:2B:EF:C3:6F:DC:12:26:72:D9:0F:44:80:5F, действителен с 01.09.2025 13:35:41 по 25.11.2026 13:35:41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09:33:43 МСК</w:t>
      </w:r>
    </w:p>
    <w:sectPr>
      <w:footerReference w:type="default" r:id="rId2"/>
      <w:type w:val="nextPage"/>
      <w:pgSz w:w="11906" w:h="16838"/>
      <w:pgMar w:left="851" w:right="567" w:gutter="0" w:header="0" w:top="426" w:footer="0" w:bottom="426"/>
      <w:pgNumType w:start="1" w:fmt="decimal"/>
      <w:formProt w:val="false"/>
      <w:textDirection w:val="lrTb"/>
      <w:docGrid w:type="default" w:linePitch="27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Wingdings">
    <w:charset w:val="02"/>
    <w:family w:val="auto"/>
    <w:pitch w:val="variable"/>
  </w:font>
  <w:font w:name="Tahoma">
    <w:charset w:val="cc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right="360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decimal"/>
      <w:lvlText w:val="%1."/>
      <w:lvlJc w:val="left"/>
      <w:pPr>
        <w:tabs>
          <w:tab w:val="num" w:pos="432"/>
        </w:tabs>
        <w:ind w:left="432" w:hanging="432"/>
      </w:pPr>
      <w:rPr>
        <w:sz w:val="28"/>
        <w:i w:val="false"/>
        <w:b/>
        <w:szCs w:val="28"/>
        <w:rFonts w:ascii="Times New Roman" w:hAnsi="Times New Roman"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sz w:val="28"/>
        <w:i w:val="false"/>
        <w:b w:val="false"/>
        <w:szCs w:val="26"/>
        <w:rFonts w:ascii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/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/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/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/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/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/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/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10"/>
  <w:defaultTabStop w:val="709"/>
  <w:autoHyphenation w:val="true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roid Sans Fallback" w:cs="Droid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Times New Roman" w:hAnsi="Times New Roman" w:eastAsia="Times New Roman" w:cs="Times New Roman"/>
      <w:color w:val="auto"/>
      <w:sz w:val="20"/>
      <w:szCs w:val="20"/>
      <w:lang w:val="ru-RU" w:bidi="ar-SA" w:eastAsia="zh-C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character" w:styleId="WW8Num2z0">
    <w:name w:val="WW8Num2z0"/>
    <w:qFormat/>
    <w:rPr>
      <w:rFonts w:ascii="Times New Roman" w:hAnsi="Times New Roman" w:cs="Times New Roman"/>
      <w:b/>
      <w:i w:val="false"/>
      <w:sz w:val="28"/>
      <w:szCs w:val="28"/>
    </w:rPr>
  </w:style>
  <w:style w:type="character" w:styleId="WW8Num2z1">
    <w:name w:val="WW8Num2z1"/>
    <w:qFormat/>
    <w:rPr>
      <w:rFonts w:ascii="Times New Roman" w:hAnsi="Times New Roman" w:cs="Times New Roman"/>
      <w:b w:val="false"/>
      <w:i w:val="false"/>
      <w:sz w:val="28"/>
      <w:szCs w:val="26"/>
    </w:rPr>
  </w:style>
  <w:style w:type="character" w:styleId="WW8Num2z2">
    <w:name w:val="WW8Num2z2"/>
    <w:qFormat/>
    <w:rPr/>
  </w:style>
  <w:style w:type="character" w:styleId="WW8Num3z0">
    <w:name w:val="WW8Num3z0"/>
    <w:qFormat/>
    <w:rPr/>
  </w:style>
  <w:style w:type="character" w:styleId="WW8Num4z0">
    <w:name w:val="WW8Num4z0"/>
    <w:qFormat/>
    <w:rPr/>
  </w:style>
  <w:style w:type="character" w:styleId="WW8Num5z0">
    <w:name w:val="WW8Num5z0"/>
    <w:qFormat/>
    <w:rPr>
      <w:rFonts w:ascii="Times New Roman" w:hAnsi="Times New Roman" w:eastAsia="Times New Roman" w:cs="Times New Roman"/>
    </w:rPr>
  </w:style>
  <w:style w:type="character" w:styleId="WW8Num6z0">
    <w:name w:val="WW8Num6z0"/>
    <w:qFormat/>
    <w:rPr>
      <w:rFonts w:ascii="Times New Roman" w:hAnsi="Times New Roman" w:cs="Times New Roman"/>
      <w:b w:val="false"/>
      <w:i w:val="false"/>
      <w:sz w:val="22"/>
      <w:szCs w:val="24"/>
    </w:rPr>
  </w:style>
  <w:style w:type="character" w:styleId="WW8Num6z1">
    <w:name w:val="WW8Num6z1"/>
    <w:qFormat/>
    <w:rPr>
      <w:rFonts w:ascii="Times New Roman" w:hAnsi="Times New Roman" w:cs="Times New Roman"/>
      <w:b/>
      <w:i w:val="false"/>
      <w:sz w:val="22"/>
      <w:szCs w:val="22"/>
    </w:rPr>
  </w:style>
  <w:style w:type="character" w:styleId="WW8Num6z2">
    <w:name w:val="WW8Num6z2"/>
    <w:qFormat/>
    <w:rPr/>
  </w:style>
  <w:style w:type="character" w:styleId="WW8Num8z0">
    <w:name w:val="WW8Num8z0"/>
    <w:qFormat/>
    <w:rPr/>
  </w:style>
  <w:style w:type="character" w:styleId="WW8Num9z1">
    <w:name w:val="WW8Num9z1"/>
    <w:qFormat/>
    <w:rPr/>
  </w:style>
  <w:style w:type="character" w:styleId="WW8Num10z0">
    <w:name w:val="WW8Num10z0"/>
    <w:qFormat/>
    <w:rPr/>
  </w:style>
  <w:style w:type="character" w:styleId="WW8Num11z0">
    <w:name w:val="WW8Num11z0"/>
    <w:qFormat/>
    <w:rPr>
      <w:rFonts w:ascii="Times New Roman" w:hAnsi="Times New Roman" w:eastAsia="Times New Roman" w:cs="Times New Roman"/>
    </w:rPr>
  </w:style>
  <w:style w:type="character" w:styleId="WW8Num14z0">
    <w:name w:val="WW8Num14z0"/>
    <w:qFormat/>
    <w:rPr>
      <w:rFonts w:ascii="Times New Roman" w:hAnsi="Times New Roman" w:cs="Times New Roman"/>
      <w:b/>
      <w:i w:val="false"/>
      <w:sz w:val="22"/>
      <w:szCs w:val="22"/>
    </w:rPr>
  </w:style>
  <w:style w:type="character" w:styleId="WW8Num14z2">
    <w:name w:val="WW8Num14z2"/>
    <w:qFormat/>
    <w:rPr/>
  </w:style>
  <w:style w:type="character" w:styleId="WW8Num15z0">
    <w:name w:val="WW8Num15z0"/>
    <w:qFormat/>
    <w:rPr>
      <w:b/>
    </w:rPr>
  </w:style>
  <w:style w:type="character" w:styleId="WW8Num17z0">
    <w:name w:val="WW8Num17z0"/>
    <w:qFormat/>
    <w:rPr>
      <w:rFonts w:ascii="Times New Roman" w:hAnsi="Times New Roman" w:eastAsia="Times New Roman" w:cs="Times New Roman"/>
      <w:b w:val="false"/>
      <w:i w:val="false"/>
      <w:sz w:val="24"/>
      <w:szCs w:val="24"/>
    </w:rPr>
  </w:style>
  <w:style w:type="character" w:styleId="WW8Num17z1">
    <w:name w:val="WW8Num17z1"/>
    <w:qFormat/>
    <w:rPr>
      <w:rFonts w:ascii="Times New Roman" w:hAnsi="Times New Roman" w:cs="Times New Roman"/>
      <w:b/>
      <w:i w:val="false"/>
      <w:sz w:val="22"/>
      <w:szCs w:val="22"/>
    </w:rPr>
  </w:style>
  <w:style w:type="character" w:styleId="WW8Num17z2">
    <w:name w:val="WW8Num17z2"/>
    <w:qFormat/>
    <w:rPr/>
  </w:style>
  <w:style w:type="character" w:styleId="WW8Num18z0">
    <w:name w:val="WW8Num18z0"/>
    <w:qFormat/>
    <w:rPr>
      <w:rFonts w:ascii="Wingdings" w:hAnsi="Wingdings" w:cs="Wingdings"/>
    </w:rPr>
  </w:style>
  <w:style w:type="character" w:styleId="WW8Num19z0">
    <w:name w:val="WW8Num19z0"/>
    <w:qFormat/>
    <w:rPr>
      <w:b/>
    </w:rPr>
  </w:style>
  <w:style w:type="character" w:styleId="Style13">
    <w:name w:val="Основной шрифт абзаца"/>
    <w:qFormat/>
    <w:rPr/>
  </w:style>
  <w:style w:type="character" w:styleId="Style14">
    <w:name w:val="íîìåð ñòðàíèöû"/>
    <w:basedOn w:val="Style13"/>
    <w:qFormat/>
    <w:rPr/>
  </w:style>
  <w:style w:type="character" w:styleId="FootnoteCharacters">
    <w:name w:val="Footnote Characters"/>
    <w:qFormat/>
    <w:rPr>
      <w:vertAlign w:val="superscript"/>
    </w:rPr>
  </w:style>
  <w:style w:type="character" w:styleId="PageNumber">
    <w:name w:val="Page Number"/>
    <w:basedOn w:val="Style13"/>
    <w:rPr/>
  </w:style>
  <w:style w:type="character" w:styleId="EndnoteCharacters">
    <w:name w:val="Endnote Characters"/>
    <w:qFormat/>
    <w:rPr>
      <w:vertAlign w:val="superscript"/>
    </w:rPr>
  </w:style>
  <w:style w:type="character" w:styleId="1">
    <w:name w:val="Основной текст с отступом Знак1"/>
    <w:basedOn w:val="Style13"/>
    <w:qFormat/>
    <w:rPr/>
  </w:style>
  <w:style w:type="character" w:styleId="Hyperlink">
    <w:name w:val="Hyperlink"/>
    <w:rPr>
      <w:color w:val="0000FF"/>
      <w:u w:val="single"/>
    </w:rPr>
  </w:style>
  <w:style w:type="character" w:styleId="Iceouttxt1">
    <w:name w:val="iceouttxt1"/>
    <w:qFormat/>
    <w:rPr>
      <w:rFonts w:ascii="Arial" w:hAnsi="Arial" w:cs="Arial"/>
      <w:color w:val="666666"/>
      <w:sz w:val="13"/>
      <w:szCs w:val="13"/>
    </w:rPr>
  </w:style>
  <w:style w:type="character" w:styleId="Rserrmark1">
    <w:name w:val="rs_err_mark1"/>
    <w:qFormat/>
    <w:rPr>
      <w:color w:val="FF0000"/>
    </w:rPr>
  </w:style>
  <w:style w:type="character" w:styleId="Basic">
    <w:name w:val="basic"/>
    <w:basedOn w:val="Style13"/>
    <w:qFormat/>
    <w:rPr/>
  </w:style>
  <w:style w:type="character" w:styleId="Style15">
    <w:name w:val="Текст концевой сноски Знак"/>
    <w:basedOn w:val="Style13"/>
    <w:qFormat/>
    <w:rPr/>
  </w:style>
  <w:style w:type="character" w:styleId="Ng-binding">
    <w:name w:val="ng-binding"/>
    <w:qFormat/>
    <w:rPr/>
  </w:style>
  <w:style w:type="character" w:styleId="Style16">
    <w:name w:val="Текст выноски Знак"/>
    <w:qFormat/>
    <w:rPr>
      <w:rFonts w:ascii="Tahoma" w:hAnsi="Tahoma" w:cs="Tahoma"/>
      <w:sz w:val="16"/>
      <w:szCs w:val="16"/>
    </w:rPr>
  </w:style>
  <w:style w:type="paragraph" w:styleId="Heading">
    <w:name w:val="Heading"/>
    <w:basedOn w:val="Normal"/>
    <w:next w:val="BodyText"/>
    <w:qFormat/>
    <w:pPr>
      <w:jc w:val="center"/>
    </w:pPr>
    <w:rPr>
      <w:b/>
      <w:smallCaps/>
      <w:sz w:val="32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Droid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Droid Sans Devanagari"/>
    </w:rPr>
  </w:style>
  <w:style w:type="paragraph" w:styleId="BodyTextIndent">
    <w:name w:val="Body Text Indent"/>
    <w:basedOn w:val="Normal"/>
    <w:pPr>
      <w:ind w:hanging="0" w:left="5529" w:right="0"/>
      <w:jc w:val="center"/>
    </w:pPr>
    <w:rPr/>
  </w:style>
  <w:style w:type="paragraph" w:styleId="HeaderandFooter">
    <w:name w:val="Header and Footer"/>
    <w:basedOn w:val="Normal"/>
    <w:qFormat/>
    <w:pPr>
      <w:suppressLineNumbers/>
      <w:tabs>
        <w:tab w:val="clear" w:pos="709"/>
        <w:tab w:val="center" w:pos="4986" w:leader="none"/>
        <w:tab w:val="right" w:pos="9972" w:leader="none"/>
      </w:tabs>
    </w:pPr>
    <w:rPr/>
  </w:style>
  <w:style w:type="paragraph" w:styleId="Footer">
    <w:name w:val="Footer"/>
    <w:basedOn w:val="Normal"/>
    <w:pPr>
      <w:tabs>
        <w:tab w:val="clear" w:pos="709"/>
        <w:tab w:val="center" w:pos="4153" w:leader="none"/>
        <w:tab w:val="right" w:pos="8306" w:leader="none"/>
      </w:tabs>
    </w:pPr>
    <w:rPr/>
  </w:style>
  <w:style w:type="paragraph" w:styleId="FootnoteText">
    <w:name w:val="Footnote Text"/>
    <w:basedOn w:val="Normal"/>
    <w:pPr/>
    <w:rPr/>
  </w:style>
  <w:style w:type="paragraph" w:styleId="2">
    <w:name w:val="Основной текст с отступом 2"/>
    <w:basedOn w:val="Normal"/>
    <w:qFormat/>
    <w:pPr>
      <w:suppressAutoHyphens w:val="true"/>
      <w:spacing w:before="120" w:after="120"/>
      <w:ind w:firstLine="540" w:left="0" w:right="0"/>
      <w:jc w:val="both"/>
    </w:pPr>
    <w:rPr>
      <w:sz w:val="26"/>
    </w:rPr>
  </w:style>
  <w:style w:type="paragraph" w:styleId="21">
    <w:name w:val="Основной текст 2"/>
    <w:basedOn w:val="Normal"/>
    <w:qFormat/>
    <w:pPr>
      <w:spacing w:lineRule="auto" w:line="480" w:before="0" w:after="120"/>
    </w:pPr>
    <w:rPr/>
  </w:style>
  <w:style w:type="paragraph" w:styleId="Header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11">
    <w:name w:val="Знак Знак1 Знак"/>
    <w:basedOn w:val="Normal"/>
    <w:qFormat/>
    <w:pPr>
      <w:spacing w:lineRule="exact" w:line="240" w:before="0" w:after="160"/>
      <w:jc w:val="both"/>
    </w:pPr>
    <w:rPr>
      <w:sz w:val="24"/>
      <w:lang w:val="en-US"/>
    </w:rPr>
  </w:style>
  <w:style w:type="paragraph" w:styleId="Style17">
    <w:name w:val="Без интервала"/>
    <w:qFormat/>
    <w:pPr>
      <w:widowControl/>
      <w:bidi w:val="0"/>
    </w:pPr>
    <w:rPr>
      <w:rFonts w:ascii="Times New Roman" w:hAnsi="Times New Roman" w:eastAsia="Times New Roman" w:cs="Times New Roman"/>
      <w:color w:val="auto"/>
      <w:sz w:val="24"/>
      <w:szCs w:val="24"/>
      <w:lang w:val="ru-RU" w:bidi="ar-SA" w:eastAsia="zh-CN"/>
    </w:rPr>
  </w:style>
  <w:style w:type="paragraph" w:styleId="EndnoteText">
    <w:name w:val="Endnote Text"/>
    <w:basedOn w:val="Normal"/>
    <w:pPr/>
    <w:rPr/>
  </w:style>
  <w:style w:type="paragraph" w:styleId="Style18">
    <w:name w:val="Текст выноски"/>
    <w:basedOn w:val="Normal"/>
    <w:qFormat/>
    <w:pPr/>
    <w:rPr>
      <w:rFonts w:ascii="Tahoma" w:hAnsi="Tahoma" w:cs="Tahoma"/>
      <w:sz w:val="16"/>
      <w:szCs w:val="16"/>
      <w:lang w:val="en-US"/>
    </w:rPr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  <w:style w:type="numbering" w:styleId="WW8Num10">
    <w:name w:val="WW8Num10"/>
    <w:qFormat/>
  </w:style>
  <w:style w:type="numbering" w:styleId="WW8Num11">
    <w:name w:val="WW8Num11"/>
    <w:qFormat/>
  </w:style>
  <w:style w:type="numbering" w:styleId="WW8Num12">
    <w:name w:val="WW8Num12"/>
    <w:qFormat/>
  </w:style>
  <w:style w:type="numbering" w:styleId="WW8Num13">
    <w:name w:val="WW8Num13"/>
    <w:qFormat/>
  </w:style>
  <w:style w:type="numbering" w:styleId="WW8Num14">
    <w:name w:val="WW8Num14"/>
    <w:qFormat/>
  </w:style>
  <w:style w:type="numbering" w:styleId="WW8Num15">
    <w:name w:val="WW8Num15"/>
    <w:qFormat/>
  </w:style>
  <w:style w:type="numbering" w:styleId="WW8Num16">
    <w:name w:val="WW8Num16"/>
    <w:qFormat/>
  </w:style>
  <w:style w:type="numbering" w:styleId="WW8Num17">
    <w:name w:val="WW8Num17"/>
    <w:qFormat/>
  </w:style>
  <w:style w:type="numbering" w:styleId="WW8Num18">
    <w:name w:val="WW8Num18"/>
    <w:qFormat/>
  </w:style>
  <w:style w:type="numbering" w:styleId="WW8Num19">
    <w:name w:val="WW8Num19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660</TotalTime>
  <Application>LibreOffice/7.6.7.2$Linux_X86_64 LibreOffice_project/60$Build-2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2019-03-12T15:13:00Z</dcterms:created>
  <dc:creator>Корягина</dc:creator>
  <dc:description/>
  <cp:keywords/>
  <dc:language>en-US</dc:language>
  <cp:lastModifiedBy>Старовойтов Александр Борисович</cp:lastModifiedBy>
  <cp:lastPrinted>2022-11-30T12:28:00Z</cp:lastPrinted>
  <dcterms:modified xsi:type="dcterms:W3CDTF">2026-08-06T10:15:00Z</dcterms:modified>
  <cp:revision>194</cp:revision>
  <dc:subject/>
  <dc:title>ПРОТОКОЛ № _______</dc:title>
</cp:coreProperties>
</file>