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lang w:val="en-US"/>
        </w:rPr>
      </w:pPr>
      <w:r>
        <w:rPr/>
        <w:object w:dxaOrig="900" w:dyaOrig="1005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47.25pt;height:48.2pt" filled="f" o:ole="">
            <v:imagedata r:id="rId3" o:title=""/>
          </v:shape>
          <o:OLEObject Type="Embed" ProgID="" ShapeID="ole_rId2" DrawAspect="Content" ObjectID="_999947594" r:id="rId2"/>
        </w:object>
      </w:r>
    </w:p>
    <w:p>
      <w:pPr>
        <w:pStyle w:val="BodyText"/>
        <w:jc w:val="center"/>
        <w:rPr>
          <w:b/>
          <w:bCs/>
          <w:lang w:val="ru-RU" w:eastAsia="ru-RU"/>
        </w:rPr>
      </w:pPr>
      <w:r>
        <w:rPr>
          <w:b/>
          <w:bCs/>
          <w:lang w:val="ru-RU" w:eastAsia="ru-RU"/>
        </w:rPr>
        <w:t>Федеральная служба</w:t>
      </w:r>
    </w:p>
    <w:p>
      <w:pPr>
        <w:pStyle w:val="BodyText"/>
        <w:jc w:val="center"/>
        <w:rPr>
          <w:b/>
          <w:bCs/>
          <w:lang w:val="ru-RU" w:eastAsia="ru-RU"/>
        </w:rPr>
      </w:pPr>
      <w:r>
        <w:rPr>
          <w:b/>
          <w:bCs/>
          <w:lang w:val="ru-RU" w:eastAsia="ru-RU"/>
        </w:rPr>
        <w:t>по надзору в сфере защиты прав потребителей и благополучия человека</w:t>
      </w:r>
    </w:p>
    <w:p>
      <w:pPr>
        <w:pStyle w:val="Normal"/>
        <w:jc w:val="center"/>
        <w:rPr>
          <w:b/>
          <w:bCs/>
          <w:sz w:val="18"/>
          <w:szCs w:val="18"/>
          <w:lang w:val="ru-RU" w:eastAsia="ru-RU"/>
        </w:rPr>
      </w:pPr>
      <w:r>
        <w:rPr>
          <w:b/>
          <w:bCs/>
          <w:sz w:val="18"/>
          <w:szCs w:val="18"/>
          <w:lang w:val="ru-RU" w:eastAsia="ru-RU"/>
        </w:rPr>
      </w:r>
    </w:p>
    <w:p>
      <w:pPr>
        <w:pStyle w:val="BodyText"/>
        <w:jc w:val="center"/>
        <w:rPr>
          <w:lang w:val="ru-RU" w:eastAsia="ru-RU"/>
        </w:rPr>
      </w:pPr>
      <w:r>
        <w:rPr>
          <w:lang w:val="ru-RU" w:eastAsia="ru-RU"/>
        </w:rPr>
        <w:t>Федеральное бюджетное учреждение здравоохранения</w:t>
      </w:r>
    </w:p>
    <w:p>
      <w:pPr>
        <w:pStyle w:val="Normal"/>
        <w:jc w:val="center"/>
        <w:rPr>
          <w:rFonts w:ascii="Arial CYR" w:hAnsi="Arial CYR" w:cs="Arial CYR"/>
          <w:b/>
          <w:bCs/>
        </w:rPr>
      </w:pPr>
      <w:r>
        <w:rPr>
          <w:rFonts w:cs="Arial CYR" w:ascii="Arial CYR" w:hAnsi="Arial CYR"/>
          <w:b/>
          <w:bCs/>
        </w:rPr>
        <w:t>«ЦЕНТР ГИГИЕНЫ И ЭПИДЕМИОЛОГИИ В НИЖЕГОРОДСКОЙ ОБЛАСТИ»</w:t>
      </w:r>
    </w:p>
    <w:p>
      <w:pPr>
        <w:pStyle w:val="Normal"/>
        <w:jc w:val="center"/>
        <w:rPr>
          <w:rFonts w:ascii="Arial CYR" w:hAnsi="Arial CYR" w:cs="Arial CYR"/>
          <w:b/>
          <w:bCs/>
        </w:rPr>
      </w:pPr>
      <w:r>
        <w:rPr>
          <w:rFonts w:cs="Arial CYR" w:ascii="Arial CYR" w:hAnsi="Arial CYR"/>
          <w:b/>
          <w:bCs/>
        </w:rPr>
      </w:r>
    </w:p>
    <w:p>
      <w:pPr>
        <w:pStyle w:val="Normal"/>
        <w:jc w:val="center"/>
        <w:rPr/>
      </w:pPr>
      <w:r>
        <w:rPr>
          <w:sz w:val="18"/>
          <w:szCs w:val="18"/>
        </w:rPr>
        <w:t xml:space="preserve">603022, </w:t>
      </w:r>
      <w:r>
        <w:rPr>
          <w:rFonts w:cs="Arial CYR" w:ascii="Arial CYR" w:hAnsi="Arial CYR"/>
          <w:sz w:val="18"/>
          <w:szCs w:val="18"/>
        </w:rPr>
        <w:t>Нижний Новгород, ул. Кулибина, 11</w:t>
      </w:r>
    </w:p>
    <w:p>
      <w:pPr>
        <w:pStyle w:val="Normal"/>
        <w:jc w:val="center"/>
        <w:rPr/>
      </w:pPr>
      <w:r>
        <w:rPr>
          <w:rFonts w:cs="Arial CYR" w:ascii="Arial CYR" w:hAnsi="Arial CYR"/>
          <w:sz w:val="18"/>
          <w:szCs w:val="18"/>
        </w:rPr>
        <w:t>Телефон: (831) 428-19-54</w:t>
      </w:r>
    </w:p>
    <w:p>
      <w:pPr>
        <w:pStyle w:val="Normal"/>
        <w:jc w:val="center"/>
        <w:rPr>
          <w:rFonts w:ascii="Arial CYR" w:hAnsi="Arial CYR" w:cs="Arial CYR"/>
          <w:sz w:val="18"/>
          <w:szCs w:val="18"/>
        </w:rPr>
      </w:pPr>
      <w:r>
        <w:rPr>
          <w:rFonts w:cs="Arial CYR" w:ascii="Arial CYR" w:hAnsi="Arial CYR"/>
          <w:sz w:val="18"/>
          <w:szCs w:val="18"/>
        </w:rPr>
        <w:t>Факс: (831) 433-98-34</w:t>
      </w:r>
    </w:p>
    <w:p>
      <w:pPr>
        <w:pStyle w:val="Normal"/>
        <w:jc w:val="center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 xml:space="preserve">E-mail: </w:t>
      </w:r>
      <w:hyperlink r:id="rId4">
        <w:r>
          <w:rPr>
            <w:rStyle w:val="Hyperlink"/>
            <w:sz w:val="18"/>
            <w:szCs w:val="18"/>
            <w:lang w:val="en-US"/>
          </w:rPr>
          <w:t>csengor@cgie52.ru</w:t>
        </w:r>
      </w:hyperlink>
    </w:p>
    <w:p>
      <w:pPr>
        <w:pStyle w:val="Normal"/>
        <w:jc w:val="center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</w:p>
    <w:p>
      <w:pPr>
        <w:pStyle w:val="Headingcenter1"/>
        <w:rPr/>
      </w:pPr>
      <w:r>
        <w:rPr>
          <w:rFonts w:cs="Arial CYR" w:ascii="Arial CYR" w:hAnsi="Arial CYR"/>
          <w:sz w:val="18"/>
          <w:szCs w:val="18"/>
        </w:rPr>
        <w:t>ИНН</w:t>
      </w:r>
      <w:r>
        <w:rPr>
          <w:rFonts w:cs="Arial CYR" w:ascii="Arial CYR" w:hAnsi="Arial CYR"/>
          <w:sz w:val="18"/>
          <w:szCs w:val="18"/>
          <w:lang w:val="en-US"/>
        </w:rPr>
        <w:t xml:space="preserve"> 5262136833  </w:t>
      </w:r>
      <w:r>
        <w:rPr>
          <w:rFonts w:cs="Arial CYR" w:ascii="Arial CYR" w:hAnsi="Arial CYR"/>
          <w:sz w:val="18"/>
          <w:szCs w:val="18"/>
        </w:rPr>
        <w:t>ОКПО</w:t>
      </w:r>
      <w:r>
        <w:rPr>
          <w:rFonts w:cs="Arial CYR" w:ascii="Arial CYR" w:hAnsi="Arial CYR"/>
          <w:sz w:val="18"/>
          <w:szCs w:val="18"/>
          <w:lang w:val="en-US"/>
        </w:rPr>
        <w:t xml:space="preserve"> 76667928</w:t>
      </w:r>
    </w:p>
    <w:p>
      <w:pPr>
        <w:pStyle w:val="Headingcenter1"/>
        <w:rPr>
          <w:rFonts w:ascii="Arial CYR" w:hAnsi="Arial CYR" w:cs="Arial CYR"/>
          <w:sz w:val="18"/>
          <w:szCs w:val="18"/>
          <w:lang w:val="en-US"/>
        </w:rPr>
      </w:pPr>
      <w:r>
        <w:rPr>
          <w:rFonts w:cs="Arial CYR" w:ascii="Arial CYR" w:hAnsi="Arial CYR"/>
          <w:sz w:val="18"/>
          <w:szCs w:val="18"/>
          <w:lang w:val="en-US"/>
        </w:rPr>
      </w:r>
    </w:p>
    <w:p>
      <w:pPr>
        <w:pStyle w:val="Headingcenter1"/>
        <w:rPr>
          <w:rFonts w:ascii="Arial CYR" w:hAnsi="Arial CYR" w:cs="Arial CYR"/>
        </w:rPr>
      </w:pPr>
      <w:r>
        <w:rPr>
          <w:lang w:val="en-US" w:eastAsia="en-US" w:bidi="en-US"/>
        </w:rPr>
        <w:t>Протокол № 34/ЗК/26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Протокол подведения итогов определения поставщика (подрядчика, исполнителя)</w:t>
      </w:r>
    </w:p>
    <w:p>
      <w:pPr>
        <w:pStyle w:val="Normal"/>
        <w:jc w:val="center"/>
        <w:rPr/>
      </w:pPr>
      <w:r>
        <w:rPr>
          <w:b/>
          <w:color w:val="000000"/>
        </w:rPr>
        <w:t>(</w:t>
      </w:r>
      <w:r>
        <w:rPr>
          <w:b/>
          <w:i/>
          <w:color w:val="000000"/>
        </w:rPr>
        <w:t>для субъектов малого предпринимательства</w:t>
      </w:r>
    </w:p>
    <w:p>
      <w:pPr>
        <w:pStyle w:val="Normal"/>
        <w:autoSpaceDE w:val="false"/>
        <w:jc w:val="center"/>
        <w:rPr>
          <w:rFonts w:ascii="Times New Roman CYR" w:hAnsi="Times New Roman CYR" w:cs="Times New Roman CYR"/>
          <w:color w:val="000000"/>
        </w:rPr>
      </w:pPr>
      <w:r>
        <w:rPr>
          <w:b/>
          <w:i/>
          <w:color w:val="000000"/>
        </w:rPr>
        <w:t>и социально ориентированных некоммерческих организаций</w:t>
      </w:r>
      <w:r>
        <w:rPr>
          <w:b/>
          <w:color w:val="000000"/>
        </w:rPr>
        <w:t>)</w:t>
      </w:r>
    </w:p>
    <w:p>
      <w:pPr>
        <w:pStyle w:val="Normal"/>
        <w:autoSpaceDE w:val="false"/>
        <w:jc w:val="center"/>
        <w:rPr/>
      </w:pPr>
      <w:r>
        <w:rPr>
          <w:sz w:val="20"/>
        </w:rPr>
        <w:t xml:space="preserve">(№ извещения </w:t>
      </w:r>
      <w:r>
        <w:rPr>
          <w:color w:val="000000"/>
          <w:sz w:val="20"/>
          <w:szCs w:val="18"/>
        </w:rPr>
        <w:t>0332100016926000081</w:t>
      </w:r>
      <w:r>
        <w:rPr>
          <w:sz w:val="20"/>
        </w:rPr>
        <w:t>)</w:t>
      </w:r>
    </w:p>
    <w:p>
      <w:pPr>
        <w:pStyle w:val="Normal"/>
        <w:autoSpaceDE w:val="false"/>
        <w:jc w:val="center"/>
        <w:rPr>
          <w:color w:val="000000"/>
          <w:sz w:val="20"/>
          <w:szCs w:val="18"/>
        </w:rPr>
      </w:pPr>
      <w:r>
        <w:rPr>
          <w:color w:val="000000"/>
          <w:sz w:val="20"/>
          <w:szCs w:val="18"/>
        </w:rPr>
        <w:t>Идентификационный код закупки: 26 15262136833526201001 0010 013 2651 244</w:t>
      </w:r>
    </w:p>
    <w:p>
      <w:pPr>
        <w:pStyle w:val="Normal"/>
        <w:autoSpaceDE w:val="false"/>
        <w:jc w:val="center"/>
        <w:rPr>
          <w:color w:val="000000"/>
          <w:sz w:val="20"/>
          <w:szCs w:val="18"/>
        </w:rPr>
      </w:pPr>
      <w:r>
        <w:rPr>
          <w:color w:val="000000"/>
          <w:sz w:val="20"/>
          <w:szCs w:val="18"/>
        </w:rPr>
      </w:r>
    </w:p>
    <w:p>
      <w:pPr>
        <w:pStyle w:val="Normal"/>
        <w:autoSpaceDE w:val="false"/>
        <w:jc w:val="center"/>
        <w:rPr>
          <w:color w:val="000000"/>
          <w:sz w:val="20"/>
          <w:szCs w:val="18"/>
        </w:rPr>
      </w:pPr>
      <w:r>
        <w:rPr>
          <w:color w:val="000000"/>
          <w:sz w:val="20"/>
          <w:szCs w:val="18"/>
        </w:rPr>
      </w:r>
    </w:p>
    <w:p>
      <w:pPr>
        <w:pStyle w:val="Normal"/>
        <w:jc w:val="center"/>
        <w:rPr/>
      </w:pPr>
      <w:r>
        <w:rPr/>
        <w:t>г. Нижний Новгород</w:t>
        <w:tab/>
        <w:t xml:space="preserve">                                                                                                 «07» августа 2026 года</w:t>
      </w:r>
    </w:p>
    <w:p>
      <w:pPr>
        <w:pStyle w:val="Normal"/>
        <w:jc w:val="both"/>
        <w:rPr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>
          <w:b/>
          <w:bCs/>
        </w:rPr>
        <w:t>Организатор:</w:t>
      </w:r>
      <w:r>
        <w:rPr/>
        <w:t xml:space="preserve"> Федеральное бюджетное учреждение здравоохранения «Центр гигиены и эпидемиологии в Нижегородской области»</w:t>
      </w:r>
    </w:p>
    <w:p>
      <w:pPr>
        <w:pStyle w:val="Normal"/>
        <w:jc w:val="both"/>
        <w:rPr/>
      </w:pPr>
      <w:r>
        <w:rPr>
          <w:b/>
          <w:bCs/>
        </w:rPr>
        <w:t>Заказчик:</w:t>
      </w:r>
      <w:r>
        <w:rPr/>
        <w:t xml:space="preserve"> Федеральное бюджетное учреждение здравоохранения «Центр гигиены и эпидемиологии в Нижегородской области» </w:t>
      </w:r>
    </w:p>
    <w:p>
      <w:pPr>
        <w:pStyle w:val="Normal"/>
        <w:jc w:val="both"/>
        <w:rPr/>
      </w:pPr>
      <w:r>
        <w:rPr>
          <w:b/>
          <w:iCs/>
        </w:rPr>
        <w:t>Место нахождения:</w:t>
      </w:r>
      <w:r>
        <w:rPr>
          <w:iCs/>
        </w:rPr>
        <w:t xml:space="preserve"> 603022, Россия,</w:t>
      </w:r>
      <w:r>
        <w:rPr/>
        <w:t xml:space="preserve"> г. Нижний Новгород, ул. Кулибина, д.11.</w:t>
      </w:r>
    </w:p>
    <w:p>
      <w:pPr>
        <w:pStyle w:val="Normal"/>
        <w:autoSpaceDE w:val="false"/>
        <w:rPr>
          <w:rFonts w:ascii="Times New Roman CYR" w:hAnsi="Times New Roman CYR" w:cs="Times New Roman CYR"/>
        </w:rPr>
      </w:pPr>
      <w:r>
        <w:rPr>
          <w:b/>
          <w:bCs/>
        </w:rPr>
        <w:t>Ответственное должностное лицо</w:t>
      </w:r>
      <w:r>
        <w:rPr/>
        <w:t xml:space="preserve">: </w:t>
      </w:r>
      <w:r>
        <w:rPr>
          <w:rFonts w:cs="Times New Roman CYR" w:ascii="Times New Roman CYR" w:hAnsi="Times New Roman CYR"/>
        </w:rPr>
        <w:t>Климова Юлия Александровна</w:t>
      </w:r>
    </w:p>
    <w:p>
      <w:pPr>
        <w:pStyle w:val="Normal"/>
        <w:autoSpaceDE w:val="false"/>
        <w:jc w:val="both"/>
        <w:rPr/>
      </w:pPr>
      <w:r>
        <w:rPr>
          <w:b/>
          <w:bCs/>
          <w:color w:val="000000"/>
        </w:rPr>
        <w:t>Телефон/факс/</w:t>
      </w:r>
      <w:r>
        <w:rPr>
          <w:b/>
          <w:bCs/>
          <w:color w:val="000000"/>
          <w:lang w:val="en-US"/>
        </w:rPr>
        <w:t>e</w:t>
      </w:r>
      <w:r>
        <w:rPr>
          <w:b/>
          <w:bCs/>
          <w:color w:val="000000"/>
        </w:rPr>
        <w:t>-</w:t>
      </w:r>
      <w:r>
        <w:rPr>
          <w:b/>
          <w:bCs/>
          <w:color w:val="000000"/>
          <w:lang w:val="en-US"/>
        </w:rPr>
        <w:t>mail</w:t>
      </w:r>
      <w:r>
        <w:rPr>
          <w:b/>
          <w:bCs/>
          <w:color w:val="000000"/>
        </w:rPr>
        <w:t>:</w:t>
      </w:r>
      <w:r>
        <w:rPr/>
        <w:t xml:space="preserve"> </w:t>
      </w:r>
      <w:r>
        <w:rPr>
          <w:color w:val="000000"/>
        </w:rPr>
        <w:t>8 (831) 200-34-97 доб.231 /</w:t>
      </w:r>
      <w:r>
        <w:rPr/>
        <w:t xml:space="preserve"> </w:t>
      </w:r>
      <w:hyperlink r:id="rId5">
        <w:r>
          <w:rPr>
            <w:rStyle w:val="Hyperlink"/>
          </w:rPr>
          <w:t>zakupki@cgie52.ru</w:t>
        </w:r>
      </w:hyperlink>
      <w:r>
        <w:rPr>
          <w:color w:val="0000FF"/>
        </w:rPr>
        <w:t>.</w:t>
      </w:r>
    </w:p>
    <w:p>
      <w:pPr>
        <w:pStyle w:val="Normal"/>
        <w:jc w:val="both"/>
        <w:rPr/>
      </w:pPr>
      <w:r>
        <w:rPr>
          <w:b/>
        </w:rPr>
        <w:t>Способ определения поставщика (подрядчика/исполнителя):</w:t>
      </w:r>
      <w:r>
        <w:rPr/>
        <w:t xml:space="preserve"> Электронный запрос котировок.</w:t>
      </w:r>
    </w:p>
    <w:p>
      <w:pPr>
        <w:pStyle w:val="Normal"/>
        <w:jc w:val="both"/>
        <w:rPr>
          <w:b/>
        </w:rPr>
      </w:pPr>
      <w:r>
        <w:rPr>
          <w:b/>
        </w:rPr>
      </w:r>
    </w:p>
    <w:p>
      <w:pPr>
        <w:pStyle w:val="Normal"/>
        <w:jc w:val="both"/>
        <w:rPr>
          <w:color w:val="000000"/>
        </w:rPr>
      </w:pPr>
      <w:r>
        <w:rPr>
          <w:b/>
        </w:rPr>
        <w:t xml:space="preserve">Наименование объекта закупки: </w:t>
      </w:r>
      <w:r>
        <w:rPr/>
        <w:t xml:space="preserve">Поставка </w:t>
      </w:r>
      <w:r>
        <w:rPr>
          <w:color w:val="000000"/>
        </w:rPr>
        <w:t>лабораторного оборудования для проведения исследований (измерителя параметров электрического и магнитного полей трехкомпонентный с блоком управления) для нужд ФБУЗ «Центр гигиены и эпидемиологии в Нижегородской области» по адресу: 603022, г. Нижний Новгород, ул. Кулибина, д.11, 3-ий этаж</w:t>
      </w:r>
    </w:p>
    <w:p>
      <w:pPr>
        <w:pStyle w:val="Normal"/>
        <w:jc w:val="both"/>
        <w:rPr>
          <w:b/>
          <w:bCs/>
          <w:color w:val="000000"/>
        </w:rPr>
      </w:pPr>
      <w:r>
        <w:rPr>
          <w:color w:val="000000"/>
        </w:rPr>
        <w:t xml:space="preserve">Начальная (максимальная) цена контракта: </w:t>
      </w:r>
      <w:r>
        <w:rPr>
          <w:b/>
          <w:color w:val="000000"/>
        </w:rPr>
        <w:t>298 467,34 руб. (Двести девяносто восемь тысяч четыреста шестьдесят семь рублей 34 копейки).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  <w:t xml:space="preserve">Цена контракта включает в себя все расходы на перевозку, страхование, уплату таможенных пошлин, налогов, сборов и других обязательных платежей, а также </w:t>
      </w:r>
      <w:r>
        <w:rPr>
          <w:b/>
          <w:color w:val="000000"/>
        </w:rPr>
        <w:t>НДС</w:t>
      </w:r>
      <w:r>
        <w:rPr>
          <w:color w:val="000000"/>
        </w:rPr>
        <w:t xml:space="preserve"> </w:t>
      </w:r>
      <w:r>
        <w:rPr>
          <w:b/>
          <w:color w:val="000000"/>
        </w:rPr>
        <w:t>и иные расходы, связанные с исполнением контракта</w:t>
      </w:r>
      <w:r>
        <w:rPr>
          <w:color w:val="000000"/>
        </w:rPr>
        <w:t xml:space="preserve"> </w:t>
      </w:r>
      <w:r>
        <w:rPr>
          <w:b/>
          <w:color w:val="000000"/>
        </w:rPr>
        <w:t>(поверка, доставка, разгрузка, подъем Товара по адресу: 603022, г. Нижний Новгород, ул. Кулибина, д.11, 3-ий этаж.</w:t>
      </w:r>
    </w:p>
    <w:p>
      <w:pPr>
        <w:pStyle w:val="Normal"/>
        <w:jc w:val="both"/>
        <w:rPr>
          <w:b/>
          <w:color w:val="000000"/>
          <w:highlight w:val="yellow"/>
        </w:rPr>
      </w:pPr>
      <w:r>
        <w:rPr>
          <w:b/>
          <w:color w:val="000000"/>
          <w:highlight w:val="yellow"/>
        </w:rPr>
      </w:r>
    </w:p>
    <w:p>
      <w:pPr>
        <w:pStyle w:val="Normal"/>
        <w:jc w:val="both"/>
        <w:rPr>
          <w:lang w:val="en-US" w:eastAsia="zh-CN"/>
        </w:rPr>
      </w:pPr>
      <w:r>
        <w:rPr>
          <w:lang w:val="en-US" w:eastAsia="zh-CN"/>
        </w:rPr>
        <w:t>На заседании Комиссии по осуществлению закупок ФБУЗ «Центр гигиены и эпидемиологии в Нижегородской области»</w:t>
      </w:r>
      <w:r>
        <w:rPr>
          <w:lang w:eastAsia="zh-CN"/>
        </w:rPr>
        <w:t xml:space="preserve"> (</w:t>
      </w:r>
      <w:r>
        <w:rPr>
          <w:i/>
          <w:lang w:eastAsia="zh-CN"/>
        </w:rPr>
        <w:t>далее – Комиссия</w:t>
      </w:r>
      <w:r>
        <w:rPr>
          <w:lang w:eastAsia="zh-CN"/>
        </w:rPr>
        <w:t>)</w:t>
      </w:r>
      <w:r>
        <w:rPr>
          <w:lang w:val="en-US" w:eastAsia="zh-CN"/>
        </w:rPr>
        <w:t xml:space="preserve"> </w:t>
      </w:r>
      <w:r>
        <w:rPr>
          <w:lang w:eastAsia="zh-CN"/>
        </w:rPr>
        <w:t xml:space="preserve">по рассмотрению заявок </w:t>
      </w:r>
      <w:r>
        <w:rPr>
          <w:lang w:val="en-US" w:eastAsia="zh-CN"/>
        </w:rPr>
        <w:t>на участие в электронном</w:t>
      </w:r>
      <w:r>
        <w:rPr>
          <w:lang w:eastAsia="zh-CN"/>
        </w:rPr>
        <w:t xml:space="preserve"> запросе котировок</w:t>
      </w:r>
      <w:r>
        <w:rPr>
          <w:lang w:val="en-US" w:eastAsia="zh-CN"/>
        </w:rPr>
        <w:t xml:space="preserve"> присутствовали:</w:t>
      </w:r>
    </w:p>
    <w:tbl>
      <w:tblPr>
        <w:tblpPr w:vertAnchor="text" w:horzAnchor="margin" w:rightFromText="180" w:tblpX="0" w:tblpY="122"/>
        <w:tblW w:w="1059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4"/>
        <w:gridCol w:w="5954"/>
      </w:tblGrid>
      <w:tr>
        <w:trPr>
          <w:trHeight w:val="284" w:hRule="atLeast"/>
        </w:trPr>
        <w:tc>
          <w:tcPr>
            <w:tcW w:w="4644" w:type="dxa"/>
            <w:tcBorders/>
          </w:tcPr>
          <w:p>
            <w:pPr>
              <w:pStyle w:val="Normal"/>
              <w:tabs>
                <w:tab w:val="clear" w:pos="720"/>
                <w:tab w:val="left" w:pos="2552" w:leader="none"/>
                <w:tab w:val="left" w:pos="3686" w:leader="none"/>
              </w:tabs>
              <w:spacing w:lineRule="auto" w:line="276"/>
              <w:jc w:val="both"/>
              <w:rPr/>
            </w:pPr>
            <w:r>
              <w:rPr>
                <w:bCs/>
              </w:rPr>
              <w:t>Председатель Комиссии:</w:t>
            </w:r>
          </w:p>
        </w:tc>
        <w:tc>
          <w:tcPr>
            <w:tcW w:w="5954" w:type="dxa"/>
            <w:tcBorders/>
          </w:tcPr>
          <w:p>
            <w:pPr>
              <w:pStyle w:val="Normal"/>
              <w:tabs>
                <w:tab w:val="clear" w:pos="720"/>
                <w:tab w:val="left" w:pos="2552" w:leader="none"/>
                <w:tab w:val="left" w:pos="3686" w:leader="none"/>
              </w:tabs>
              <w:spacing w:lineRule="auto" w:line="360"/>
              <w:rPr>
                <w:bCs/>
              </w:rPr>
            </w:pPr>
            <w:r>
              <w:rPr>
                <w:bCs/>
              </w:rPr>
              <w:t>Чадова Ирина Михайловна</w:t>
            </w:r>
          </w:p>
        </w:tc>
      </w:tr>
      <w:tr>
        <w:trPr>
          <w:trHeight w:val="397" w:hRule="atLeast"/>
        </w:trPr>
        <w:tc>
          <w:tcPr>
            <w:tcW w:w="4644" w:type="dxa"/>
            <w:tcBorders/>
          </w:tcPr>
          <w:p>
            <w:pPr>
              <w:pStyle w:val="Normal"/>
              <w:tabs>
                <w:tab w:val="clear" w:pos="720"/>
                <w:tab w:val="left" w:pos="2552" w:leader="none"/>
                <w:tab w:val="left" w:pos="3686" w:leader="none"/>
              </w:tabs>
              <w:spacing w:lineRule="auto" w:line="276"/>
              <w:jc w:val="both"/>
              <w:rPr>
                <w:bCs/>
              </w:rPr>
            </w:pPr>
            <w:r>
              <w:rPr>
                <w:bCs/>
              </w:rPr>
              <w:t xml:space="preserve">Члены Комиссии: </w:t>
            </w:r>
          </w:p>
        </w:tc>
        <w:tc>
          <w:tcPr>
            <w:tcW w:w="5954" w:type="dxa"/>
            <w:tcBorders/>
          </w:tcPr>
          <w:p>
            <w:pPr>
              <w:pStyle w:val="Normal"/>
              <w:tabs>
                <w:tab w:val="clear" w:pos="720"/>
                <w:tab w:val="left" w:pos="2552" w:leader="none"/>
                <w:tab w:val="left" w:pos="3686" w:leader="none"/>
              </w:tabs>
              <w:spacing w:lineRule="auto" w:line="360"/>
              <w:rPr>
                <w:bCs/>
              </w:rPr>
            </w:pPr>
            <w:r>
              <w:rPr>
                <w:bCs/>
              </w:rPr>
              <w:t xml:space="preserve">Духницкая Татьяна Леонидовна </w:t>
            </w:r>
          </w:p>
          <w:p>
            <w:pPr>
              <w:pStyle w:val="Normal"/>
              <w:tabs>
                <w:tab w:val="clear" w:pos="720"/>
                <w:tab w:val="left" w:pos="2552" w:leader="none"/>
                <w:tab w:val="left" w:pos="3686" w:leader="none"/>
              </w:tabs>
              <w:spacing w:lineRule="auto" w:line="360"/>
              <w:rPr>
                <w:bCs/>
              </w:rPr>
            </w:pPr>
            <w:r>
              <w:rPr>
                <w:bCs/>
              </w:rPr>
              <w:t xml:space="preserve">Лузина Евгения Константиновна </w:t>
            </w:r>
          </w:p>
          <w:p>
            <w:pPr>
              <w:pStyle w:val="Normal"/>
              <w:tabs>
                <w:tab w:val="clear" w:pos="720"/>
                <w:tab w:val="left" w:pos="2552" w:leader="none"/>
                <w:tab w:val="left" w:pos="3686" w:leader="none"/>
              </w:tabs>
              <w:spacing w:lineRule="auto" w:line="360"/>
              <w:rPr>
                <w:bCs/>
              </w:rPr>
            </w:pPr>
            <w:r>
              <w:rPr>
                <w:bCs/>
              </w:rPr>
              <w:t>Молоканова Ольга Владимировна</w:t>
            </w:r>
          </w:p>
        </w:tc>
      </w:tr>
      <w:tr>
        <w:trPr>
          <w:trHeight w:val="397" w:hRule="atLeast"/>
        </w:trPr>
        <w:tc>
          <w:tcPr>
            <w:tcW w:w="4644" w:type="dxa"/>
            <w:tcBorders/>
          </w:tcPr>
          <w:p>
            <w:pPr>
              <w:pStyle w:val="Normal"/>
              <w:tabs>
                <w:tab w:val="clear" w:pos="720"/>
                <w:tab w:val="left" w:pos="2552" w:leader="none"/>
                <w:tab w:val="left" w:pos="3686" w:leader="none"/>
              </w:tabs>
              <w:spacing w:lineRule="auto" w:line="276"/>
              <w:jc w:val="both"/>
              <w:rPr/>
            </w:pPr>
            <w:r>
              <w:rPr>
                <w:bCs/>
              </w:rPr>
              <w:t>Секретарь Комиссии:</w:t>
            </w:r>
          </w:p>
        </w:tc>
        <w:tc>
          <w:tcPr>
            <w:tcW w:w="5954" w:type="dxa"/>
            <w:tcBorders/>
          </w:tcPr>
          <w:p>
            <w:pPr>
              <w:pStyle w:val="Normal"/>
              <w:tabs>
                <w:tab w:val="clear" w:pos="720"/>
                <w:tab w:val="left" w:pos="2552" w:leader="none"/>
                <w:tab w:val="left" w:pos="3686" w:leader="none"/>
              </w:tabs>
              <w:spacing w:lineRule="auto" w:line="276"/>
              <w:rPr>
                <w:bCs/>
              </w:rPr>
            </w:pPr>
            <w:r>
              <w:rPr>
                <w:color w:val="000000"/>
              </w:rPr>
              <w:t>Климова Юлия Александровна</w:t>
            </w:r>
          </w:p>
        </w:tc>
      </w:tr>
    </w:tbl>
    <w:p>
      <w:pPr>
        <w:pStyle w:val="Normal"/>
        <w:rPr/>
      </w:pPr>
      <w:r/>
      <w:r>
        <w:rPr/>
        <w:t>Всего на заседании присутствовало 5 члена(ов) Комиссии. Кворум имеется.</w:t>
      </w:r>
    </w:p>
    <w:p>
      <w:pPr>
        <w:pStyle w:val="Normal"/>
        <w:ind w:firstLine="708" w:right="0"/>
        <w:jc w:val="both"/>
        <w:rPr/>
      </w:pPr>
      <w:r>
        <w:rPr/>
      </w:r>
    </w:p>
    <w:p>
      <w:pPr>
        <w:pStyle w:val="Normal"/>
        <w:ind w:firstLine="708" w:right="0"/>
        <w:jc w:val="both"/>
        <w:rPr/>
      </w:pPr>
      <w:r>
        <w:rPr/>
        <w:t xml:space="preserve">Извещение о проведении запроса котировок в электронной форме размещено в единой информационной системе в сфере закупок (официальный сайт </w:t>
      </w:r>
      <w:hyperlink r:id="rId6">
        <w:r>
          <w:rPr>
            <w:rStyle w:val="Hyperlink"/>
          </w:rPr>
          <w:t>http://zakupki.gov.ru</w:t>
        </w:r>
      </w:hyperlink>
      <w:r>
        <w:rPr/>
        <w:t xml:space="preserve">) и на сайте оператора электронной площадки </w:t>
      </w:r>
      <w:r>
        <w:rPr>
          <w:color w:val="000000"/>
        </w:rPr>
        <w:t>«Фабрикант</w:t>
      </w:r>
      <w:r>
        <w:rPr/>
        <w:t xml:space="preserve">» по адресу в сети интернет </w:t>
      </w:r>
      <w:r>
        <w:rPr>
          <w:color w:val="0000FF"/>
          <w:u w:val="single"/>
        </w:rPr>
        <w:t>https://www.fabrikant.ru</w:t>
      </w:r>
      <w:r>
        <w:rPr/>
        <w:t xml:space="preserve"> «30» июля 2026 года.</w:t>
      </w:r>
    </w:p>
    <w:p>
      <w:pPr>
        <w:pStyle w:val="Normal"/>
        <w:ind w:firstLine="708" w:right="0"/>
        <w:jc w:val="both"/>
        <w:rPr/>
      </w:pPr>
      <w:r>
        <w:rPr/>
        <w:t>До указанного в извещении о проведении электронного запроса котировок д</w:t>
      </w:r>
      <w:r>
        <w:rPr>
          <w:rFonts w:cs="Times New Roman CYR" w:ascii="Times New Roman CYR" w:hAnsi="Times New Roman CYR"/>
        </w:rPr>
        <w:t xml:space="preserve">аты и времени окончания срока подачи заявок на участие в </w:t>
      </w:r>
      <w:r>
        <w:rPr/>
        <w:t xml:space="preserve">электронном запросе котировок </w:t>
      </w:r>
      <w:r>
        <w:rPr>
          <w:rFonts w:cs="Times New Roman CYR" w:ascii="Times New Roman CYR" w:hAnsi="Times New Roman CYR"/>
        </w:rPr>
        <w:t>«06</w:t>
      </w:r>
      <w:r>
        <w:rPr/>
        <w:t xml:space="preserve">» августа 2026 года 08:00 часов </w:t>
      </w:r>
      <w:r>
        <w:rPr>
          <w:i/>
        </w:rPr>
        <w:t>(по московскому времени)</w:t>
      </w:r>
      <w:r>
        <w:rPr/>
        <w:t xml:space="preserve"> поступила 1 (одна) заявка.</w:t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firstLine="708" w:right="0"/>
        <w:jc w:val="both"/>
        <w:rPr/>
      </w:pPr>
      <w:r>
        <w:rPr/>
        <w:t>Комиссия рассмотрела информацию и документы, направленные оператором электронной площадки в соответствии с пунктом с частью 2 статьи 50 Федерального закона № 44-ФЗ, и приняла следующее решение:</w:t>
      </w:r>
    </w:p>
    <w:tbl>
      <w:tblPr>
        <w:tblW w:w="5000" w:type="pct"/>
        <w:jc w:val="left"/>
        <w:tblInd w:w="0" w:type="dxa"/>
        <w:tblLayout w:type="fixed"/>
        <w:tblCellMar>
          <w:top w:w="52" w:type="dxa"/>
          <w:left w:w="52" w:type="dxa"/>
          <w:bottom w:w="52" w:type="dxa"/>
          <w:right w:w="52" w:type="dxa"/>
        </w:tblCellMar>
      </w:tblPr>
      <w:tblGrid>
        <w:gridCol w:w="2150"/>
        <w:gridCol w:w="1538"/>
        <w:gridCol w:w="2189"/>
        <w:gridCol w:w="1163"/>
        <w:gridCol w:w="1593"/>
        <w:gridCol w:w="1715"/>
      </w:tblGrid>
      <w:tr>
        <w:trPr>
          <w:tblHeader w:val="true"/>
        </w:trPr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0"/>
                <w:szCs w:val="22"/>
                <w:lang w:val="en-US" w:eastAsia="en-US" w:bidi="en-US"/>
              </w:rPr>
            </w:pPr>
            <w:r>
              <w:rPr>
                <w:b/>
                <w:bCs/>
                <w:color w:val="000000"/>
                <w:sz w:val="20"/>
                <w:szCs w:val="22"/>
                <w:lang w:val="en-US" w:eastAsia="en-US" w:bidi="en-US"/>
              </w:rPr>
              <w:t>Идентификационный номер заявки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0"/>
                <w:szCs w:val="22"/>
                <w:lang w:val="en-US" w:eastAsia="en-US" w:bidi="en-US"/>
              </w:rPr>
            </w:pPr>
            <w:r>
              <w:rPr>
                <w:b/>
                <w:bCs/>
                <w:color w:val="000000"/>
                <w:sz w:val="20"/>
                <w:szCs w:val="22"/>
                <w:lang w:val="en-US" w:eastAsia="en-US" w:bidi="en-US"/>
              </w:rPr>
              <w:t>Дата и время подачи заявки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0"/>
                <w:szCs w:val="22"/>
                <w:lang w:val="en-US" w:eastAsia="en-US" w:bidi="en-US"/>
              </w:rPr>
            </w:pPr>
            <w:r>
              <w:rPr>
                <w:b/>
                <w:bCs/>
                <w:color w:val="000000"/>
                <w:sz w:val="20"/>
                <w:szCs w:val="22"/>
                <w:lang w:val="en-US" w:eastAsia="en-US" w:bidi="en-US"/>
              </w:rPr>
              <w:t>Предложение о цене контракта, руб.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0"/>
                <w:szCs w:val="22"/>
                <w:lang w:val="en-US" w:eastAsia="en-US" w:bidi="en-US"/>
              </w:rPr>
            </w:pPr>
            <w:r>
              <w:rPr>
                <w:b/>
                <w:bCs/>
                <w:color w:val="000000"/>
                <w:sz w:val="20"/>
                <w:szCs w:val="22"/>
                <w:lang w:val="en-US" w:eastAsia="en-US" w:bidi="en-US"/>
              </w:rPr>
              <w:t>Процент снижения цены</w:t>
            </w:r>
          </w:p>
        </w:tc>
        <w:tc>
          <w:tcPr>
            <w:tcW w:w="1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0"/>
                <w:szCs w:val="22"/>
                <w:lang w:val="en-US" w:eastAsia="en-US" w:bidi="en-US"/>
              </w:rPr>
            </w:pPr>
            <w:r>
              <w:rPr>
                <w:b/>
                <w:bCs/>
                <w:color w:val="000000"/>
                <w:sz w:val="20"/>
                <w:szCs w:val="22"/>
                <w:lang w:val="en-US" w:eastAsia="en-US" w:bidi="en-US"/>
              </w:rPr>
              <w:t>Порядковый номер заявки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color w:val="000000"/>
                <w:sz w:val="20"/>
                <w:szCs w:val="22"/>
                <w:lang w:val="en-US" w:eastAsia="en-US" w:bidi="en-US"/>
              </w:rPr>
              <w:t>Результат рассмотрения</w:t>
            </w:r>
          </w:p>
        </w:tc>
      </w:tr>
      <w:tr>
        <w:trPr/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05.08.2026 15:55:22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296 000.00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- 0.83 %</w:t>
            </w:r>
          </w:p>
        </w:tc>
        <w:tc>
          <w:tcPr>
            <w:tcW w:w="1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Соответствует</w:t>
            </w:r>
          </w:p>
        </w:tc>
      </w:tr>
    </w:tbl>
    <w:p>
      <w:pPr>
        <w:pStyle w:val="Usual1"/>
        <w:spacing w:before="240" w:after="0"/>
        <w:jc w:val="center"/>
        <w:rPr>
          <w:b/>
          <w:bCs/>
          <w:lang w:val="en-US" w:eastAsia="en-US" w:bidi="en-US"/>
        </w:rPr>
      </w:pPr>
      <w:r>
        <w:rPr>
          <w:b/>
          <w:bCs/>
          <w:lang w:val="en-US" w:eastAsia="en-US" w:bidi="en-US"/>
        </w:rPr>
        <w:t>Информация о принятом решении каждым членом комиссии</w:t>
      </w:r>
    </w:p>
    <w:tbl>
      <w:tblPr>
        <w:tblW w:w="10525" w:type="dxa"/>
        <w:jc w:val="left"/>
        <w:tblInd w:w="0" w:type="dxa"/>
        <w:tblLayout w:type="fixed"/>
        <w:tblCellMar>
          <w:top w:w="52" w:type="dxa"/>
          <w:left w:w="52" w:type="dxa"/>
          <w:bottom w:w="52" w:type="dxa"/>
          <w:right w:w="52" w:type="dxa"/>
        </w:tblCellMar>
      </w:tblPr>
      <w:tblGrid>
        <w:gridCol w:w="2179"/>
        <w:gridCol w:w="6077"/>
        <w:gridCol w:w="2269"/>
      </w:tblGrid>
      <w:tr>
        <w:trPr>
          <w:tblHeader w:val="true"/>
          <w:trHeight w:val="346" w:hRule="atLeast"/>
        </w:trPr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0"/>
                <w:szCs w:val="22"/>
                <w:lang w:val="en-US" w:eastAsia="en-US" w:bidi="en-US"/>
              </w:rPr>
            </w:pPr>
            <w:r>
              <w:rPr>
                <w:b/>
                <w:bCs/>
                <w:color w:val="000000"/>
                <w:sz w:val="20"/>
                <w:szCs w:val="22"/>
                <w:lang w:val="en-US" w:eastAsia="en-US" w:bidi="en-US"/>
              </w:rPr>
              <w:t>Идентификационный номер заявки</w:t>
            </w:r>
          </w:p>
        </w:tc>
        <w:tc>
          <w:tcPr>
            <w:tcW w:w="6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0"/>
                <w:szCs w:val="22"/>
                <w:lang w:val="en-US" w:eastAsia="en-US" w:bidi="en-US"/>
              </w:rPr>
            </w:pPr>
            <w:r>
              <w:rPr>
                <w:b/>
                <w:bCs/>
                <w:color w:val="000000"/>
                <w:sz w:val="20"/>
                <w:szCs w:val="22"/>
                <w:lang w:val="en-US" w:eastAsia="en-US" w:bidi="en-US"/>
              </w:rPr>
              <w:t>Ф.И.О. члена комиссии / Общее решение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sz w:val="20"/>
                <w:szCs w:val="22"/>
                <w:lang w:val="en-US" w:eastAsia="en-US" w:bidi="en-US"/>
              </w:rPr>
            </w:pPr>
            <w:r>
              <w:rPr>
                <w:b/>
                <w:bCs/>
                <w:color w:val="000000"/>
                <w:sz w:val="20"/>
                <w:szCs w:val="22"/>
                <w:lang w:val="en-US" w:eastAsia="en-US" w:bidi="en-US"/>
              </w:rPr>
              <w:t>Решение по заявке</w:t>
            </w:r>
          </w:p>
        </w:tc>
      </w:tr>
      <w:tr>
        <w:trPr/>
        <w:tc>
          <w:tcPr>
            <w:tcW w:w="21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>1</w:t>
            </w:r>
          </w:p>
        </w:tc>
        <w:tc>
          <w:tcPr>
            <w:tcW w:w="6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ind w:left="78" w:right="0"/>
              <w:rPr/>
            </w:pPr>
            <w:r>
              <w:rPr>
                <w:color w:val="000000"/>
                <w:lang w:val="en-US" w:eastAsia="en-US" w:bidi="en-US"/>
              </w:rPr>
              <w:t>Чадова Ирина Михайловна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>Соответствует</w:t>
            </w:r>
          </w:p>
        </w:tc>
      </w:tr>
      <w:tr>
        <w:trPr>
          <w:trHeight w:val="324" w:hRule="atLeast"/>
        </w:trPr>
        <w:tc>
          <w:tcPr>
            <w:tcW w:w="217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</w:r>
          </w:p>
        </w:tc>
        <w:tc>
          <w:tcPr>
            <w:tcW w:w="607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ind w:left="78" w:right="0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>Духницкая Татьяна Леонидовна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>Соответствует</w:t>
            </w:r>
          </w:p>
        </w:tc>
      </w:tr>
      <w:tr>
        <w:trPr>
          <w:trHeight w:val="244" w:hRule="atLeast"/>
        </w:trPr>
        <w:tc>
          <w:tcPr>
            <w:tcW w:w="217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</w:r>
          </w:p>
        </w:tc>
        <w:tc>
          <w:tcPr>
            <w:tcW w:w="607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  <w:tab w:val="left" w:pos="2552" w:leader="none"/>
                <w:tab w:val="left" w:pos="3686" w:leader="none"/>
              </w:tabs>
              <w:ind w:left="78" w:right="0"/>
              <w:rPr>
                <w:bCs/>
              </w:rPr>
            </w:pPr>
            <w:r>
              <w:rPr>
                <w:bCs/>
              </w:rPr>
              <w:t xml:space="preserve">Лузина Евгения Константиновна 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>Соответствует</w:t>
            </w:r>
          </w:p>
        </w:tc>
      </w:tr>
      <w:tr>
        <w:trPr/>
        <w:tc>
          <w:tcPr>
            <w:tcW w:w="217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</w:r>
          </w:p>
        </w:tc>
        <w:tc>
          <w:tcPr>
            <w:tcW w:w="6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ind w:left="78" w:right="0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>Молоканова Ольга Владимировна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>Соответствует</w:t>
            </w:r>
          </w:p>
        </w:tc>
      </w:tr>
      <w:tr>
        <w:trPr/>
        <w:tc>
          <w:tcPr>
            <w:tcW w:w="217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</w:r>
          </w:p>
        </w:tc>
        <w:tc>
          <w:tcPr>
            <w:tcW w:w="6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ind w:left="78" w:right="0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>Климова Юлия Александровна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>Соответствует</w:t>
            </w:r>
          </w:p>
        </w:tc>
      </w:tr>
      <w:tr>
        <w:trPr/>
        <w:tc>
          <w:tcPr>
            <w:tcW w:w="217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</w:r>
          </w:p>
        </w:tc>
        <w:tc>
          <w:tcPr>
            <w:tcW w:w="6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lang w:val="en-US" w:eastAsia="en-US" w:bidi="en-US"/>
              </w:rPr>
            </w:pPr>
            <w:r>
              <w:rPr>
                <w:b/>
                <w:bCs/>
                <w:color w:val="000000"/>
                <w:lang w:val="en-US" w:eastAsia="en-US" w:bidi="en-US"/>
              </w:rPr>
              <w:t>Общее решение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  <w:color w:val="000000"/>
                <w:lang w:val="en-US" w:eastAsia="en-US" w:bidi="en-US"/>
              </w:rPr>
            </w:pPr>
            <w:r>
              <w:rPr>
                <w:b/>
                <w:bCs/>
                <w:color w:val="000000"/>
                <w:lang w:val="en-US" w:eastAsia="en-US" w:bidi="en-US"/>
              </w:rPr>
              <w:t>Соответствует</w:t>
            </w:r>
          </w:p>
        </w:tc>
      </w:tr>
    </w:tbl>
    <w:p>
      <w:pPr>
        <w:pStyle w:val="Normal"/>
        <w:autoSpaceDE w:val="false"/>
        <w:spacing w:lineRule="auto" w:line="276" w:before="240" w:after="0"/>
        <w:ind w:firstLine="708" w:right="0"/>
        <w:jc w:val="both"/>
        <w:rPr/>
      </w:pPr>
      <w:r>
        <w:rPr/>
        <w:t>В соответствии с пунктом 1 части 1 статьи 52 Федерального закона 44-ФЗ, электронный запрос котировок признан несостоявшимся, так как по окончании срока подачи заявок на участие в закупке подана только одна заявка на участие в закупке.</w:t>
      </w:r>
    </w:p>
    <w:p>
      <w:pPr>
        <w:pStyle w:val="Normal"/>
        <w:autoSpaceDE w:val="false"/>
        <w:spacing w:lineRule="auto" w:line="276" w:before="240" w:after="240"/>
        <w:ind w:firstLine="708" w:right="0"/>
        <w:jc w:val="both"/>
        <w:rPr/>
      </w:pPr>
      <w:r>
        <w:rPr/>
        <w:t>Преимущество в отношении товаров российского происхождения, установленное в соответствии с абзацем 3 пункта 1 Постановления Правительства Российской Федерации от 23 декабря 2024 г. N 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не применяется, так как подана только одна заявка на участие в закупке.</w:t>
      </w:r>
    </w:p>
    <w:p>
      <w:pPr>
        <w:pStyle w:val="Normal"/>
        <w:autoSpaceDE w:val="false"/>
        <w:spacing w:lineRule="auto" w:line="276"/>
        <w:ind w:firstLine="708" w:right="0"/>
        <w:jc w:val="both"/>
        <w:rPr>
          <w:b/>
          <w:bCs/>
        </w:rPr>
      </w:pPr>
      <w:r>
        <w:rPr/>
        <w:t xml:space="preserve">По результатам электронной процедуры контракт заключается с участником с идентификационным номером заявки – 1, с предложением о цене контракта – </w:t>
      </w:r>
      <w:r>
        <w:rPr>
          <w:b/>
          <w:bCs/>
        </w:rPr>
        <w:t>296 000.00 руб. (Двести девяносто шесть тысяч рублей 00 копеек).</w:t>
      </w:r>
    </w:p>
    <w:p>
      <w:pPr>
        <w:pStyle w:val="Normal"/>
        <w:autoSpaceDE w:val="false"/>
        <w:spacing w:lineRule="auto" w:line="276"/>
        <w:ind w:firstLine="708" w:right="0"/>
        <w:jc w:val="both"/>
        <w:rPr/>
      </w:pPr>
      <w:r>
        <w:rP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Usual1"/>
        <w:tabs>
          <w:tab w:val="clear" w:pos="720"/>
          <w:tab w:val="center" w:pos="6998" w:leader="none"/>
        </w:tabs>
        <w:spacing w:before="240" w:after="0"/>
        <w:rPr>
          <w:b/>
          <w:bCs/>
          <w:lang w:val="en-US" w:eastAsia="en-US" w:bidi="en-US"/>
        </w:rPr>
      </w:pPr>
      <w:r>
        <w:rPr>
          <w:b/>
          <w:bCs/>
          <w:lang w:val="en-US" w:eastAsia="en-US" w:bidi="en-US"/>
        </w:rPr>
        <w:t xml:space="preserve">Комиссия: </w:t>
      </w:r>
    </w:p>
    <w:p>
      <w:pPr>
        <w:pStyle w:val="Usual1"/>
        <w:spacing w:before="240" w:after="0"/>
        <w:rPr>
          <w:b/>
          <w:bCs/>
          <w:lang w:val="en-US" w:eastAsia="en-US" w:bidi="en-US"/>
        </w:rPr>
      </w:pPr>
      <w:r>
        <w:rPr>
          <w:b/>
          <w:bCs/>
          <w:lang w:val="en-US" w:eastAsia="en-US" w:bidi="en-US"/>
        </w:rPr>
      </w:r>
    </w:p>
    <w:tbl>
      <w:tblPr>
        <w:tblW w:w="4950" w:type="pct"/>
        <w:jc w:val="left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436"/>
        <w:gridCol w:w="3049"/>
        <w:gridCol w:w="3759"/>
      </w:tblGrid>
      <w:tr>
        <w:trPr/>
        <w:tc>
          <w:tcPr>
            <w:tcW w:w="3436" w:type="dxa"/>
            <w:tcBorders/>
          </w:tcPr>
          <w:p>
            <w:pPr>
              <w:pStyle w:val="Normal"/>
              <w:spacing w:lineRule="auto" w:line="480"/>
              <w:rPr/>
            </w:pPr>
            <w:r>
              <w:rPr>
                <w:color w:val="000000"/>
                <w:lang w:val="en-US" w:eastAsia="en-US" w:bidi="en-US"/>
              </w:rPr>
              <w:t>Председатель комиссии</w:t>
            </w:r>
          </w:p>
        </w:tc>
        <w:tc>
          <w:tcPr>
            <w:tcW w:w="3049" w:type="dxa"/>
            <w:tcBorders/>
          </w:tcPr>
          <w:p>
            <w:pPr>
              <w:pStyle w:val="Any"/>
              <w:spacing w:lineRule="auto" w:line="480"/>
              <w:ind w:left="720" w:right="0"/>
              <w:jc w:val="center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 xml:space="preserve">_____________ </w:t>
            </w:r>
          </w:p>
        </w:tc>
        <w:tc>
          <w:tcPr>
            <w:tcW w:w="3759" w:type="dxa"/>
            <w:tcBorders/>
          </w:tcPr>
          <w:p>
            <w:pPr>
              <w:pStyle w:val="Normal"/>
              <w:spacing w:lineRule="auto" w:line="480"/>
              <w:rPr>
                <w:color w:val="000000"/>
                <w:lang w:val="en-US" w:eastAsia="en-US" w:bidi="en-US"/>
              </w:rPr>
            </w:pPr>
            <w:r>
              <w:rPr>
                <w:bCs/>
              </w:rPr>
              <w:t>Чадова Ирина Михайловна</w:t>
            </w:r>
          </w:p>
        </w:tc>
      </w:tr>
      <w:tr>
        <w:trPr/>
        <w:tc>
          <w:tcPr>
            <w:tcW w:w="3436" w:type="dxa"/>
            <w:tcBorders/>
          </w:tcPr>
          <w:p>
            <w:pPr>
              <w:pStyle w:val="Normal"/>
              <w:spacing w:lineRule="auto" w:line="480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>Член комиссии</w:t>
            </w:r>
          </w:p>
        </w:tc>
        <w:tc>
          <w:tcPr>
            <w:tcW w:w="3049" w:type="dxa"/>
            <w:tcBorders/>
          </w:tcPr>
          <w:p>
            <w:pPr>
              <w:pStyle w:val="Any"/>
              <w:spacing w:lineRule="auto" w:line="480"/>
              <w:ind w:left="720" w:right="0"/>
              <w:jc w:val="center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 xml:space="preserve">_____________ </w:t>
            </w:r>
          </w:p>
        </w:tc>
        <w:tc>
          <w:tcPr>
            <w:tcW w:w="3759" w:type="dxa"/>
            <w:tcBorders/>
          </w:tcPr>
          <w:p>
            <w:pPr>
              <w:pStyle w:val="Normal"/>
              <w:tabs>
                <w:tab w:val="clear" w:pos="720"/>
                <w:tab w:val="left" w:pos="2552" w:leader="none"/>
                <w:tab w:val="left" w:pos="3686" w:leader="none"/>
              </w:tabs>
              <w:rPr>
                <w:bCs/>
              </w:rPr>
            </w:pPr>
            <w:r>
              <w:rPr>
                <w:bCs/>
              </w:rPr>
              <w:t>Духницкая Татьяна Леонидовна</w:t>
            </w:r>
          </w:p>
        </w:tc>
      </w:tr>
      <w:tr>
        <w:trPr/>
        <w:tc>
          <w:tcPr>
            <w:tcW w:w="3436" w:type="dxa"/>
            <w:tcBorders/>
          </w:tcPr>
          <w:p>
            <w:pPr>
              <w:pStyle w:val="Normal"/>
              <w:spacing w:lineRule="auto" w:line="480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>Член комиссии</w:t>
            </w:r>
          </w:p>
        </w:tc>
        <w:tc>
          <w:tcPr>
            <w:tcW w:w="3049" w:type="dxa"/>
            <w:tcBorders/>
          </w:tcPr>
          <w:p>
            <w:pPr>
              <w:pStyle w:val="Any"/>
              <w:spacing w:lineRule="auto" w:line="480"/>
              <w:ind w:left="720" w:right="0"/>
              <w:jc w:val="center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 xml:space="preserve">_____________ </w:t>
            </w:r>
          </w:p>
        </w:tc>
        <w:tc>
          <w:tcPr>
            <w:tcW w:w="3759" w:type="dxa"/>
            <w:tcBorders/>
          </w:tcPr>
          <w:p>
            <w:pPr>
              <w:pStyle w:val="Normal"/>
              <w:tabs>
                <w:tab w:val="clear" w:pos="720"/>
                <w:tab w:val="left" w:pos="2552" w:leader="none"/>
                <w:tab w:val="left" w:pos="3686" w:leader="none"/>
              </w:tabs>
              <w:spacing w:lineRule="auto" w:line="360"/>
              <w:rPr>
                <w:bCs/>
              </w:rPr>
            </w:pPr>
            <w:r>
              <w:rPr>
                <w:bCs/>
              </w:rPr>
              <w:t xml:space="preserve">Лузина Евгения Константиновна </w:t>
            </w:r>
          </w:p>
        </w:tc>
      </w:tr>
      <w:tr>
        <w:trPr/>
        <w:tc>
          <w:tcPr>
            <w:tcW w:w="3436" w:type="dxa"/>
            <w:tcBorders/>
          </w:tcPr>
          <w:p>
            <w:pPr>
              <w:pStyle w:val="Normal"/>
              <w:spacing w:lineRule="auto" w:line="480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>Член комиссии</w:t>
            </w:r>
          </w:p>
        </w:tc>
        <w:tc>
          <w:tcPr>
            <w:tcW w:w="3049" w:type="dxa"/>
            <w:tcBorders/>
          </w:tcPr>
          <w:p>
            <w:pPr>
              <w:pStyle w:val="Any"/>
              <w:spacing w:lineRule="auto" w:line="480"/>
              <w:ind w:left="720" w:right="0"/>
              <w:jc w:val="center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 xml:space="preserve">_____________ </w:t>
            </w:r>
          </w:p>
        </w:tc>
        <w:tc>
          <w:tcPr>
            <w:tcW w:w="3759" w:type="dxa"/>
            <w:tcBorders/>
          </w:tcPr>
          <w:p>
            <w:pPr>
              <w:pStyle w:val="Normal"/>
              <w:spacing w:lineRule="auto" w:line="480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 xml:space="preserve">Молоканова Ольга Владимировна </w:t>
            </w:r>
          </w:p>
        </w:tc>
      </w:tr>
      <w:tr>
        <w:trPr/>
        <w:tc>
          <w:tcPr>
            <w:tcW w:w="3436" w:type="dxa"/>
            <w:tcBorders/>
          </w:tcPr>
          <w:p>
            <w:pPr>
              <w:pStyle w:val="Normal"/>
              <w:spacing w:lineRule="auto" w:line="480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>Секретарь</w:t>
            </w:r>
          </w:p>
        </w:tc>
        <w:tc>
          <w:tcPr>
            <w:tcW w:w="3049" w:type="dxa"/>
            <w:tcBorders/>
          </w:tcPr>
          <w:p>
            <w:pPr>
              <w:pStyle w:val="Any"/>
              <w:spacing w:lineRule="auto" w:line="480"/>
              <w:ind w:left="720" w:right="0"/>
              <w:jc w:val="center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 xml:space="preserve">_____________ </w:t>
            </w:r>
          </w:p>
        </w:tc>
        <w:tc>
          <w:tcPr>
            <w:tcW w:w="3759" w:type="dxa"/>
            <w:tcBorders/>
          </w:tcPr>
          <w:p>
            <w:pPr>
              <w:pStyle w:val="Normal"/>
              <w:spacing w:lineRule="auto" w:line="480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>Климова Юлия Александровна</w:t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ЗДРАВООХРАНЕНИЯ "ЦЕНТР ГИГИЕНЫ И ЭПИДЕМИОЛОГИИ В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Климова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0C:4D:B7:C9:7F:00:96:CE:2F:42:E4:32:54:07:7D:8D, действителен с 09.07.2026 09:12:15 по 02.10.2027 09:12:15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13:37:11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ЗДРАВООХРАНЕНИЯ "ЦЕНТР ГИГИЕНЫ И ЭПИДЕМИОЛОГИИ В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Молоканова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00:88:C5:89:B3:C8:59:93:FA:44:ED:0F:3A:74:C5:19:44, действителен с 09.07.2026 09:07:43 по 02.10.2027 09:07:43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13:39:42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ЗДРАВООХРАНЕНИЯ "ЦЕНТР ГИГИЕНЫ И ЭПИДЕМИОЛОГИИ В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Духницкая Татьяна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3A:1A:56:53:81:0D:58:7E:E2:D1:36:69:A3:6C:D7, действителен с 14.05.2026 06:38:00 по 07.08.2027 06:38:00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13:41:15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ЗДРАВООХРАНЕНИЯ "ЦЕНТР ГИГИЕНЫ И ЭПИДЕМИОЛОГИИ В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Лузина Евгения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00:C2:C8:38:BA:19:35:4D:FC:83:B4:7E:41:36:DE:30:DE, действителен с 10.02.2026 13:23:10 по 06.05.2027 13:23:10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13:43:35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ЗДРАВООХРАНЕНИЯ "ЦЕНТР ГИГИЕНЫ И ЭПИДЕМИОЛОГИИ В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Чадова Ирина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00:A9:71:E0:13:75:B2:19:07:1F:EA:5E:33:87:7F:55:3E, действителен с 23.10.2025 08:22:56 по 16.01.2027 08:22:56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13:45:22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ЗДРАВООХРАНЕНИЯ "ЦЕНТР ГИГИЕНЫ И ЭПИДЕМИОЛОГИИ В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Чехова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16:A4:B3:B4:C0:83:DF:95:FE:60:D0:C4:A1:B2:9D:AB, действителен с 20.01.2026 13:23:55 по 15.04.2027 13:23:55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13:46:18 МСК</w:t>
      </w:r>
    </w:p>
    <w:sectPr>
      <w:type w:val="nextPage"/>
      <w:pgSz w:w="11906" w:h="16838"/>
      <w:pgMar w:left="851" w:right="707" w:gutter="0" w:header="0" w:top="1134" w:footer="0" w:bottom="993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Segoe UI">
    <w:charset w:val="cc"/>
    <w:family w:val="swiss"/>
    <w:pitch w:val="variable"/>
  </w:font>
  <w:font w:name="Arial">
    <w:charset w:val="cc"/>
    <w:family w:val="swiss"/>
    <w:pitch w:val="variable"/>
  </w:font>
  <w:font w:name="Open Sans">
    <w:charset w:val="01"/>
    <w:family w:val="swiss"/>
    <w:pitch w:val="variable"/>
  </w:font>
  <w:font w:name="Arial CYR">
    <w:charset w:val="cc"/>
    <w:family w:val="swiss"/>
    <w:pitch w:val="variable"/>
  </w:font>
  <w:font w:name="Times New Roman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>
      <w:rFonts w:ascii="Symbol" w:hAnsi="Symbol" w:cs="Symbol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6z0">
    <w:name w:val="WW8Num6z0"/>
    <w:qFormat/>
    <w:rPr>
      <w:rFonts w:ascii="Symbol" w:hAnsi="Symbol" w:cs="Symbol"/>
      <w:sz w:val="20"/>
    </w:rPr>
  </w:style>
  <w:style w:type="character" w:styleId="WW8Num6z1">
    <w:name w:val="WW8Num6z1"/>
    <w:qFormat/>
    <w:rPr>
      <w:rFonts w:ascii="Courier New" w:hAnsi="Courier New" w:cs="Courier New"/>
      <w:sz w:val="20"/>
    </w:rPr>
  </w:style>
  <w:style w:type="character" w:styleId="WW8Num6z2">
    <w:name w:val="WW8Num6z2"/>
    <w:qFormat/>
    <w:rPr>
      <w:rFonts w:ascii="Wingdings" w:hAnsi="Wingdings" w:cs="Wingdings"/>
      <w:sz w:val="20"/>
    </w:rPr>
  </w:style>
  <w:style w:type="character" w:styleId="WW8Num7z0">
    <w:name w:val="WW8Num7z0"/>
    <w:qFormat/>
    <w:rPr>
      <w:rFonts w:ascii="Symbol" w:hAnsi="Symbol" w:cs="Symbol"/>
      <w:sz w:val="20"/>
    </w:rPr>
  </w:style>
  <w:style w:type="character" w:styleId="WW8Num7z1">
    <w:name w:val="WW8Num7z1"/>
    <w:qFormat/>
    <w:rPr>
      <w:rFonts w:ascii="Courier New" w:hAnsi="Courier New" w:cs="Courier New"/>
      <w:sz w:val="20"/>
    </w:rPr>
  </w:style>
  <w:style w:type="character" w:styleId="WW8Num7z2">
    <w:name w:val="WW8Num7z2"/>
    <w:qFormat/>
    <w:rPr>
      <w:rFonts w:ascii="Wingdings" w:hAnsi="Wingdings" w:cs="Wingdings"/>
      <w:sz w:val="20"/>
    </w:rPr>
  </w:style>
  <w:style w:type="character" w:styleId="WW8Num8z0">
    <w:name w:val="WW8Num8z0"/>
    <w:qFormat/>
    <w:rPr>
      <w:rFonts w:ascii="Symbol" w:hAnsi="Symbol" w:cs="Symbol"/>
      <w:sz w:val="20"/>
    </w:rPr>
  </w:style>
  <w:style w:type="character" w:styleId="WW8Num8z1">
    <w:name w:val="WW8Num8z1"/>
    <w:qFormat/>
    <w:rPr>
      <w:rFonts w:ascii="Courier New" w:hAnsi="Courier New" w:cs="Courier New"/>
      <w:sz w:val="20"/>
    </w:rPr>
  </w:style>
  <w:style w:type="character" w:styleId="WW8Num8z2">
    <w:name w:val="WW8Num8z2"/>
    <w:qFormat/>
    <w:rPr>
      <w:rFonts w:ascii="Wingdings" w:hAnsi="Wingdings" w:cs="Wingdings"/>
      <w:sz w:val="20"/>
    </w:rPr>
  </w:style>
  <w:style w:type="character" w:styleId="WW8Num9z0">
    <w:name w:val="WW8Num9z0"/>
    <w:qFormat/>
    <w:rPr>
      <w:rFonts w:ascii="Symbol" w:hAnsi="Symbol" w:cs="Symbol"/>
      <w:sz w:val="20"/>
    </w:rPr>
  </w:style>
  <w:style w:type="character" w:styleId="WW8Num9z1">
    <w:name w:val="WW8Num9z1"/>
    <w:qFormat/>
    <w:rPr>
      <w:rFonts w:ascii="Courier New" w:hAnsi="Courier New" w:cs="Courier New"/>
      <w:sz w:val="20"/>
    </w:rPr>
  </w:style>
  <w:style w:type="character" w:styleId="WW8Num9z2">
    <w:name w:val="WW8Num9z2"/>
    <w:qFormat/>
    <w:rPr>
      <w:rFonts w:ascii="Wingdings" w:hAnsi="Wingdings" w:cs="Wingdings"/>
      <w:sz w:val="20"/>
    </w:rPr>
  </w:style>
  <w:style w:type="character" w:styleId="WW8Num10z0">
    <w:name w:val="WW8Num10z0"/>
    <w:qFormat/>
    <w:rPr>
      <w:rFonts w:ascii="Symbol" w:hAnsi="Symbol" w:cs="Symbol"/>
      <w:sz w:val="20"/>
    </w:rPr>
  </w:style>
  <w:style w:type="character" w:styleId="WW8Num10z1">
    <w:name w:val="WW8Num10z1"/>
    <w:qFormat/>
    <w:rPr>
      <w:rFonts w:ascii="Courier New" w:hAnsi="Courier New" w:cs="Courier New"/>
      <w:sz w:val="20"/>
    </w:rPr>
  </w:style>
  <w:style w:type="character" w:styleId="WW8Num10z2">
    <w:name w:val="WW8Num10z2"/>
    <w:qFormat/>
    <w:rPr>
      <w:rFonts w:ascii="Wingdings" w:hAnsi="Wingdings" w:cs="Wingdings"/>
      <w:sz w:val="20"/>
    </w:rPr>
  </w:style>
  <w:style w:type="character" w:styleId="Style14">
    <w:name w:val="Основной шрифт абзаца"/>
    <w:qFormat/>
    <w:rPr/>
  </w:style>
  <w:style w:type="character" w:styleId="BoldText">
    <w:name w:val="boldText"/>
    <w:qFormat/>
    <w:rPr>
      <w:b/>
      <w:bCs/>
    </w:rPr>
  </w:style>
  <w:style w:type="character" w:styleId="AnyCharacter">
    <w:name w:val="any Character"/>
    <w:qFormat/>
    <w:rPr>
      <w:rFonts w:ascii="Times New Roman" w:hAnsi="Times New Roman" w:eastAsia="Times New Roman" w:cs="Times New Roman"/>
    </w:rPr>
  </w:style>
  <w:style w:type="character" w:styleId="Hyperlink">
    <w:name w:val="Hyperlink"/>
    <w:rPr>
      <w:color w:val="0000FF"/>
      <w:u w:val="single"/>
    </w:rPr>
  </w:style>
  <w:style w:type="character" w:styleId="Style15">
    <w:name w:val="Основной текст Знак"/>
    <w:qFormat/>
    <w:rPr>
      <w:rFonts w:eastAsia="Arial Unicode MS"/>
      <w:sz w:val="24"/>
      <w:szCs w:val="24"/>
      <w:lang w:val="en-US"/>
    </w:rPr>
  </w:style>
  <w:style w:type="character" w:styleId="Style16">
    <w:name w:val="Текст выноски Знак"/>
    <w:qFormat/>
    <w:rPr>
      <w:rFonts w:ascii="Segoe UI" w:hAnsi="Segoe UI" w:cs="Segoe UI"/>
      <w:sz w:val="18"/>
      <w:szCs w:val="18"/>
    </w:rPr>
  </w:style>
  <w:style w:type="character" w:styleId="Style17">
    <w:name w:val="Неразрешенное упоминание"/>
    <w:qFormat/>
    <w:rPr>
      <w:color w:val="605E5C"/>
      <w:shd w:fill="E1DFDD" w:val="clear"/>
    </w:rPr>
  </w:style>
  <w:style w:type="character" w:styleId="ConsPlusNormal">
    <w:name w:val="ConsPlusNormal Знак"/>
    <w:qFormat/>
    <w:rPr>
      <w:rFonts w:ascii="Arial" w:hAnsi="Arial" w:cs="Arial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widowControl w:val="false"/>
      <w:suppressAutoHyphens w:val="true"/>
      <w:spacing w:before="0" w:after="120"/>
    </w:pPr>
    <w:rPr>
      <w:rFonts w:eastAsia="Arial Unicode MS"/>
      <w:lang w:val="en-US"/>
    </w:rPr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Headingcenter1">
    <w:name w:val="headingcenter1"/>
    <w:basedOn w:val="Normal"/>
    <w:qFormat/>
    <w:pPr>
      <w:jc w:val="center"/>
    </w:pPr>
    <w:rPr>
      <w:b/>
      <w:bCs/>
      <w:sz w:val="28"/>
      <w:szCs w:val="28"/>
    </w:rPr>
  </w:style>
  <w:style w:type="paragraph" w:styleId="Any">
    <w:name w:val="any"/>
    <w:basedOn w:val="Normal"/>
    <w:qFormat/>
    <w:pPr/>
    <w:rPr>
      <w:rFonts w:ascii="Times New Roman" w:hAnsi="Times New Roman" w:eastAsia="Times New Roman" w:cs="Times New Roman"/>
    </w:rPr>
  </w:style>
  <w:style w:type="paragraph" w:styleId="Usual1">
    <w:name w:val="usual1"/>
    <w:basedOn w:val="Normal"/>
    <w:qFormat/>
    <w:pPr>
      <w:jc w:val="left"/>
    </w:pPr>
    <w:rPr>
      <w:sz w:val="24"/>
      <w:szCs w:val="24"/>
    </w:rPr>
  </w:style>
  <w:style w:type="paragraph" w:styleId="ConsNonformat">
    <w:name w:val="ConsNonformat"/>
    <w:qFormat/>
    <w:pPr>
      <w:widowControl w:val="false"/>
      <w:autoSpaceDE w:val="false"/>
      <w:bidi w:val="0"/>
      <w:ind w:hanging="0" w:left="0" w:right="19772"/>
    </w:pPr>
    <w:rPr>
      <w:rFonts w:ascii="Courier New" w:hAnsi="Courier New" w:eastAsia="Times New Roman" w:cs="Courier New"/>
      <w:color w:val="auto"/>
      <w:sz w:val="20"/>
      <w:szCs w:val="20"/>
      <w:lang w:val="ru-RU" w:bidi="ar-SA" w:eastAsia="zh-CN"/>
    </w:rPr>
  </w:style>
  <w:style w:type="paragraph" w:styleId="Style18">
    <w:name w:val="Текст выноски"/>
    <w:basedOn w:val="Normal"/>
    <w:qFormat/>
    <w:pPr/>
    <w:rPr>
      <w:rFonts w:ascii="Segoe UI" w:hAnsi="Segoe UI" w:cs="Segoe UI"/>
      <w:sz w:val="18"/>
      <w:szCs w:val="18"/>
    </w:rPr>
  </w:style>
  <w:style w:type="paragraph" w:styleId="ConsPlusNormal1">
    <w:name w:val="ConsPlusNormal"/>
    <w:qFormat/>
    <w:pPr>
      <w:widowControl w:val="false"/>
      <w:autoSpaceDE w:val="false"/>
      <w:bidi w:val="0"/>
      <w:ind w:firstLine="720" w:left="0" w:right="0"/>
    </w:pPr>
    <w:rPr>
      <w:rFonts w:ascii="Arial" w:hAnsi="Arial" w:eastAsia="Times New Roman" w:cs="Arial"/>
      <w:color w:val="auto"/>
      <w:sz w:val="20"/>
      <w:szCs w:val="20"/>
      <w:lang w:val="ru-RU" w:bidi="ar-SA" w:eastAsia="zh-CN"/>
    </w:rPr>
  </w:style>
  <w:style w:type="paragraph" w:styleId="FrameContents">
    <w:name w:val="Frame Contents"/>
    <w:basedOn w:val="Normal"/>
    <w:qFormat/>
    <w:pPr/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yperlink" Target="mailto:csengor@cgie52.ru" TargetMode="External"/><Relationship Id="rId5" Type="http://schemas.openxmlformats.org/officeDocument/2006/relationships/hyperlink" Target="mailto:zakupki@cgie52.ru" TargetMode="External"/><Relationship Id="rId6" Type="http://schemas.openxmlformats.org/officeDocument/2006/relationships/hyperlink" Target="http://zakupki.gov.ru/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2025-03-10T10:06:00Z</dcterms:created>
  <dc:creator>user101</dc:creator>
  <dc:description/>
  <cp:keywords/>
  <dc:language>en-US</dc:language>
  <cp:lastModifiedBy>User101</cp:lastModifiedBy>
  <cp:lastPrinted>2026-07-27T09:09:00Z</cp:lastPrinted>
  <dcterms:modified xsi:type="dcterms:W3CDTF">2026-08-07T12:01:00Z</dcterms:modified>
  <cp:revision>64</cp:revision>
  <dc:subject/>
  <dc:title/>
</cp:coreProperties>
</file>