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240" w:before="0" w:after="0"/>
        <w:ind w:right="-28"/>
        <w:jc w:val="center"/>
        <w:rPr>
          <w:rFonts w:eastAsia="Times New Roman"/>
          <w:b/>
          <w:spacing w:val="20"/>
          <w:lang w:eastAsia="ru-RU"/>
        </w:rPr>
      </w:pPr>
      <w:r>
        <w:rPr>
          <w:rFonts w:eastAsia="Times New Roman"/>
          <w:b/>
          <w:spacing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lang w:eastAsia="ru-RU"/>
        </w:rPr>
      </w:pPr>
      <w:r>
        <w:rPr/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№ </w:t>
      </w:r>
      <w:r>
        <w:rPr>
          <w:rFonts w:eastAsia="Times New Roman"/>
          <w:lang w:eastAsia="ru-RU"/>
        </w:rPr>
        <w:t>0373100089326000057-1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tbl>
      <w:tblPr>
        <w:tblW w:w="10206" w:type="dxa"/>
        <w:jc w:val="left"/>
        <w:tblInd w:w="10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44"/>
        <w:gridCol w:w="3260"/>
        <w:gridCol w:w="3402"/>
      </w:tblGrid>
      <w:tr>
        <w:trPr/>
        <w:tc>
          <w:tcPr>
            <w:tcW w:w="3544" w:type="dxa"/>
            <w:tcBorders/>
            <w:vAlign w:val="center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righ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3260" w:type="dxa"/>
            <w:tcBorders/>
            <w:vAlign w:val="center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napToGrid w:val="false"/>
              <w:spacing w:lineRule="auto" w:line="240" w:before="60" w:after="60"/>
              <w:ind w:left="0" w:righ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  <w:vAlign w:val="center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right="0"/>
              <w:jc w:val="right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>г. Москва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 w:right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Style17"/>
        <w:widowControl w:val="false"/>
        <w:numPr>
          <w:ilvl w:val="0"/>
          <w:numId w:val="2"/>
        </w:numPr>
        <w:spacing w:lineRule="auto" w:line="240" w:before="60" w:after="0"/>
        <w:ind w:firstLine="567" w:left="0" w:right="0"/>
        <w:contextualSpacing/>
        <w:rPr>
          <w:rFonts w:eastAsia="Times New Roman"/>
        </w:rPr>
      </w:pPr>
      <w:r>
        <w:rPr>
          <w:rFonts w:eastAsia="Times New Roman"/>
        </w:rPr>
        <w:t>Заказчик(и): Федеральное государственное бюджетное водохозяйственное учреждение «Центррегионводхоз»</w:t>
      </w:r>
    </w:p>
    <w:p>
      <w:pPr>
        <w:pStyle w:val="Style17"/>
        <w:widowControl w:val="false"/>
        <w:numPr>
          <w:ilvl w:val="0"/>
          <w:numId w:val="2"/>
        </w:numPr>
        <w:spacing w:lineRule="auto" w:line="240" w:before="60" w:after="0"/>
        <w:ind w:firstLine="567" w:left="0" w:right="0"/>
        <w:contextualSpacing/>
        <w:rPr/>
      </w:pPr>
      <w:r>
        <w:rPr/>
        <w:t xml:space="preserve">Идентификационный код закупки: 261500802812777250100100590010000244. </w:t>
      </w:r>
    </w:p>
    <w:p>
      <w:pPr>
        <w:pStyle w:val="Style17"/>
        <w:widowControl w:val="false"/>
        <w:numPr>
          <w:ilvl w:val="0"/>
          <w:numId w:val="2"/>
        </w:numPr>
        <w:spacing w:lineRule="auto" w:line="240" w:before="60" w:after="0"/>
        <w:ind w:firstLine="567" w:left="0" w:right="0"/>
        <w:contextualSpacing/>
        <w:rPr/>
      </w:pPr>
      <w:r>
        <w:rPr/>
        <w:t xml:space="preserve">Извещение об осуществлении закупки размещено 30.07.2026 15:15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Style17"/>
        <w:widowControl w:val="false"/>
        <w:numPr>
          <w:ilvl w:val="0"/>
          <w:numId w:val="2"/>
        </w:numPr>
        <w:spacing w:lineRule="auto" w:line="240" w:before="60" w:after="0"/>
        <w:ind w:firstLine="567" w:left="0" w:right="0"/>
        <w:contextualSpacing/>
        <w:rPr/>
      </w:pPr>
      <w:r>
        <w:rPr/>
        <w:t>Наименование объекта закупки: Поставка специальной одежды и средств индивидуальной защиты для нужд ФГБВУ «Центррегионводхоз».</w:t>
      </w:r>
    </w:p>
    <w:p>
      <w:pPr>
        <w:pStyle w:val="Style17"/>
        <w:widowControl w:val="false"/>
        <w:numPr>
          <w:ilvl w:val="0"/>
          <w:numId w:val="2"/>
        </w:numPr>
        <w:spacing w:lineRule="auto" w:line="240" w:before="60" w:after="0"/>
        <w:ind w:firstLine="567" w:left="0" w:right="0"/>
        <w:contextualSpacing/>
        <w:rPr/>
      </w:pPr>
      <w:r>
        <w:rPr/>
        <w:t>Начальная (максимальная) цена договора, руб.: 41 364,04</w:t>
      </w:r>
    </w:p>
    <w:p>
      <w:pPr>
        <w:pStyle w:val="Style17"/>
        <w:keepNext w:val="true"/>
        <w:widowControl w:val="false"/>
        <w:numPr>
          <w:ilvl w:val="0"/>
          <w:numId w:val="2"/>
        </w:numPr>
        <w:spacing w:lineRule="auto" w:line="240" w:before="60" w:after="0"/>
        <w:ind w:firstLine="567" w:left="0" w:right="0"/>
        <w:contextualSpacing/>
        <w:rPr/>
      </w:pPr>
      <w:r>
        <w:rPr/>
        <w:t>Состав комиссии по осуществлению закупок:</w:t>
      </w:r>
    </w:p>
    <w:tbl>
      <w:tblPr>
        <w:tblW w:w="10065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61"/>
        <w:gridCol w:w="4536"/>
        <w:gridCol w:w="2268"/>
      </w:tblGrid>
      <w:tr>
        <w:trPr/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Председатель комиссии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Салищева Екатерина Константиновна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Зам. председателя комиссии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Колесник Ирина Юрьевна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Отсутствует</w:t>
            </w:r>
          </w:p>
        </w:tc>
      </w:tr>
      <w:tr>
        <w:trPr/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Член комиссии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Коновалова Екатерина Васильевна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Отсутствует</w:t>
            </w:r>
          </w:p>
        </w:tc>
      </w:tr>
      <w:tr>
        <w:trPr/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Секретарь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Сытина Екатерина Анатольевна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ind w:firstLine="567" w:right="0"/>
        <w:rPr/>
      </w:pPr>
      <w:r>
        <w:rPr/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Style17"/>
        <w:numPr>
          <w:ilvl w:val="0"/>
          <w:numId w:val="2"/>
        </w:numPr>
        <w:spacing w:lineRule="auto" w:line="240" w:before="60" w:after="0"/>
        <w:ind w:firstLine="567" w:left="0" w:righ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W w:w="10916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9"/>
        <w:gridCol w:w="1660"/>
        <w:gridCol w:w="1387"/>
        <w:gridCol w:w="2906"/>
        <w:gridCol w:w="1276"/>
        <w:gridCol w:w="992"/>
        <w:gridCol w:w="1276"/>
      </w:tblGrid>
      <w:tr>
        <w:trPr>
          <w:trHeight w:val="843" w:hRule="atLeast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-108" w:right="-94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-108" w:right="-94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spacing w:lineRule="auto" w:line="240" w:before="0" w:after="0"/>
              <w:ind w:left="-108" w:right="-94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дата и время регистрации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right="-94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Решение о соответствии или об отклонении заявки</w:t>
            </w: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ind w:right="-94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right="-94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Обоснование решения об отклонении заявки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ind w:hanging="105" w:right="14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hanging="105" w:right="-112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цене, руб.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ind w:hanging="105" w:right="14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hanging="105" w:right="14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Снижение цены, 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right="14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right="-94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right="-94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3</w:t>
            </w:r>
          </w:p>
          <w:p>
            <w:pPr>
              <w:pStyle w:val="Normal"/>
              <w:spacing w:lineRule="auto" w:line="240" w:before="60" w:after="0"/>
              <w:ind w:right="-94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06.08.2026 07:51:37 (MSK+00:00)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right="-94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60" w:after="0"/>
              <w:ind w:right="-94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right="-94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41 364,04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right="-94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- 0.00 %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right="-94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right="-94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right="-94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2</w:t>
            </w:r>
          </w:p>
          <w:p>
            <w:pPr>
              <w:pStyle w:val="Normal"/>
              <w:spacing w:lineRule="auto" w:line="240" w:before="60" w:after="0"/>
              <w:ind w:right="-94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05.08.2026 21:43:29 (MSK+00:00)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right="-94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Отклонить</w:t>
            </w: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right="40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п.5 ч.12 ст.48 44-ФЗ - непредставление информации и документов, предусмотренных пунктом 5 части 1 статьи 43 Федерального закона 44-ФЗ, если такие информация и документы определены в соответствии со статьей 14 Федерального закона 44-ФЗ (в случае установления в извещении об осуществлении закупки запрета закупок товара, происходящего из иностранного государства) </w:t>
              <w:br/>
              <w:br/>
              <w:t>Причина несоответствия: В соответствии со ст.14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 и Постановлением Правительства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– ПП РФ 1875) заказчиком в Извещении о проведении запроса котировок в электронной форме в отношении закупаемого товара «Обувь специальная кожаная для защиты от механических воздействий» (ОКПД2 15.20.32.122 / КТРУ 15.20.32.122-00000019) установлен запрет закупок товаров, происходящих из иностранных государств.</w:t>
              <w:br/>
              <w:t>В качестве подтверждения российского происхождения товара участником закупки в составе заявки на участие в запросе котировок указан номер реестровой записи № 10429078 из реестра российской промышленной продукции.</w:t>
              <w:br/>
              <w:t>Комиссией по осуществлению закупок установлено, что согласно Выписки из реестра российской промышленной продукции, сформированной 07.08.2026 на сайте Государственной информационной системы промышленности (ГИСП), срок действия указанной реестровой записи истек 08.06.2026.</w:t>
              <w:br/>
              <w:t>Учитывая Письмо Минпромторга России от 13.08.2025 № 90010/12 «О действии реестровых записей, включенных в реестр российской промышленной продукции»,  а также практику территориальных органов ФАС России (решение УФАС по Орловской области от 02.06.2026 по делу № 057/10/18.1-234/2026)  комиссия приходит к выводу, что согласно данным, содержащимся в Реестре российской промышленной продукции, срок действия указанной реестровой записи не продлен.</w:t>
              <w:br/>
              <w:t>Т.о. участником закупки не подтверждено российское происхождения товара, предлагаемого к поставке.</w:t>
              <w:br/>
              <w:t>На основании п.5 ч.12 ст.48 Федерального закона № 44-ФЗ комиссией по осуществлению закупок принято решение об отклонении заявки участника закупки.</w:t>
              <w:br/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right="-94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40 700,00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right="-94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- 1.61 %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ind w:right="-94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pStyle w:val="Style17"/>
        <w:widowControl w:val="false"/>
        <w:numPr>
          <w:ilvl w:val="0"/>
          <w:numId w:val="2"/>
        </w:numPr>
        <w:spacing w:lineRule="auto" w:line="240" w:before="60" w:after="0"/>
        <w:ind w:firstLine="567" w:left="0" w:righ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left"/>
        <w:tblInd w:w="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30"/>
        <w:gridCol w:w="5033"/>
      </w:tblGrid>
      <w:tr>
        <w:trPr>
          <w:trHeight w:val="491" w:hRule="atLeast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100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  <w:t>Идентификационный номер заявки: 3</w:t>
            </w:r>
          </w:p>
        </w:tc>
      </w:tr>
      <w:tr>
        <w:trPr/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Салищева Екатерина Константиновна</w:t>
            </w:r>
          </w:p>
        </w:tc>
        <w:tc>
          <w:tcPr>
            <w:tcW w:w="5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Сытина Екатерина Анатольевна</w:t>
            </w:r>
          </w:p>
        </w:tc>
        <w:tc>
          <w:tcPr>
            <w:tcW w:w="5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100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  <w:t>Идентификационный номер заявки: 2</w:t>
            </w:r>
          </w:p>
        </w:tc>
      </w:tr>
      <w:tr>
        <w:trPr/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Салищева Екатерина Константиновна</w:t>
            </w:r>
          </w:p>
        </w:tc>
        <w:tc>
          <w:tcPr>
            <w:tcW w:w="5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Отклонить</w:t>
            </w:r>
          </w:p>
        </w:tc>
      </w:tr>
      <w:tr>
        <w:trPr/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Сытина Екатерина Анатольевна</w:t>
            </w:r>
          </w:p>
        </w:tc>
        <w:tc>
          <w:tcPr>
            <w:tcW w:w="5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Отклонить</w:t>
            </w:r>
          </w:p>
        </w:tc>
      </w:tr>
    </w:tbl>
    <w:p>
      <w:pPr>
        <w:pStyle w:val="Style17"/>
        <w:keepNext w:val="true"/>
        <w:widowControl w:val="false"/>
        <w:numPr>
          <w:ilvl w:val="0"/>
          <w:numId w:val="2"/>
        </w:numPr>
        <w:spacing w:lineRule="auto" w:line="240" w:before="60" w:after="0"/>
        <w:ind w:firstLine="567" w:left="0" w:righ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рассмотрения заявок на участие в закупке только одна заявка на участие соответствует требованиям, на основании п.2 ч.1 ст.52 Федерального закона №44-ФЗ определение поставщика (подрядчика, исполнителя) по электронному запросу котировок признается несостоявшимся. </w:t>
      </w:r>
    </w:p>
    <w:p>
      <w:pPr>
        <w:pStyle w:val="Style17"/>
        <w:keepNext w:val="true"/>
        <w:widowControl w:val="false"/>
        <w:numPr>
          <w:ilvl w:val="0"/>
          <w:numId w:val="2"/>
        </w:numPr>
        <w:spacing w:lineRule="auto" w:line="240" w:before="60" w:after="0"/>
        <w:ind w:firstLine="567" w:left="0" w:righ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Салищева Екатерина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3A:38:D7:A7:A4:8E:9D:4D:34:E9:73:84:28:C5:EC:24, действителен с 29.12.2025 10:54:28 по 24.03.2027 10:54:28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13:33:02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Сытина Екатерина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38:9B:CF:3D:B7:36:52:B0:55:95:FE:FE:AD:91:26:9E, действителен с 10.07.2025 09:23:09 по 03.10.2026 09:23:09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14:35:14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Сытина Екатерина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38:9B:CF:3D:B7:36:52:B0:55:95:FE:FE:AD:91:26:9E, действителен с 10.07.2025 09:23:09 по 03.10.2026 09:23:09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14:35:50 МСК</w:t>
      </w:r>
    </w:p>
    <w:sectPr>
      <w:type w:val="nextPage"/>
      <w:pgSz w:w="11906" w:h="16838"/>
      <w:pgMar w:left="993" w:right="850" w:gutter="0" w:header="0" w:top="426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Calibri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Heading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Heading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pStyle w:val="Heading6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pStyle w:val="Heading7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Heading8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pStyle w:val="Heading9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000000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  <w:jc w:val="both"/>
    </w:pPr>
    <w:rPr>
      <w:rFonts w:ascii="Times New Roman" w:hAnsi="Times New Roman" w:eastAsia="Calibri" w:cs="Times New Roman"/>
      <w:color w:val="auto"/>
      <w:sz w:val="22"/>
      <w:szCs w:val="22"/>
      <w:lang w:val="ru-RU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keepLines/>
      <w:numPr>
        <w:ilvl w:val="0"/>
        <w:numId w:val="1"/>
      </w:numPr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next w:val="Normal"/>
    <w:qFormat/>
    <w:pPr>
      <w:keepNext w:val="true"/>
      <w:keepLines/>
      <w:numPr>
        <w:ilvl w:val="1"/>
        <w:numId w:val="1"/>
      </w:numPr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next w:val="Normal"/>
    <w:qFormat/>
    <w:pPr>
      <w:keepNext w:val="true"/>
      <w:keepLines/>
      <w:numPr>
        <w:ilvl w:val="2"/>
        <w:numId w:val="1"/>
      </w:numPr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next w:val="Normal"/>
    <w:qFormat/>
    <w:pPr>
      <w:keepNext w:val="true"/>
      <w:keepLines/>
      <w:numPr>
        <w:ilvl w:val="3"/>
        <w:numId w:val="1"/>
      </w:numPr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qFormat/>
    <w:pPr>
      <w:keepNext w:val="true"/>
      <w:keepLines/>
      <w:numPr>
        <w:ilvl w:val="4"/>
        <w:numId w:val="1"/>
      </w:numPr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qFormat/>
    <w:pPr>
      <w:keepNext w:val="true"/>
      <w:keepLines/>
      <w:numPr>
        <w:ilvl w:val="5"/>
        <w:numId w:val="1"/>
      </w:numPr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next w:val="Normal"/>
    <w:qFormat/>
    <w:pPr>
      <w:keepNext w:val="true"/>
      <w:keepLines/>
      <w:numPr>
        <w:ilvl w:val="6"/>
        <w:numId w:val="1"/>
      </w:numPr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next w:val="Normal"/>
    <w:qFormat/>
    <w:pPr>
      <w:keepNext w:val="true"/>
      <w:keepLines/>
      <w:numPr>
        <w:ilvl w:val="7"/>
        <w:numId w:val="1"/>
      </w:numPr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next w:val="Normal"/>
    <w:qFormat/>
    <w:pPr>
      <w:keepNext w:val="true"/>
      <w:keepLines/>
      <w:numPr>
        <w:ilvl w:val="8"/>
        <w:numId w:val="1"/>
      </w:numPr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WW8Num1z0">
    <w:name w:val="WW8Num1z0"/>
    <w:qFormat/>
    <w:rPr>
      <w:color w:val="000000"/>
    </w:rPr>
  </w:style>
  <w:style w:type="character" w:styleId="WW8Num1z1">
    <w:name w:val="WW8Num1z1"/>
    <w:qFormat/>
    <w:rPr/>
  </w:style>
  <w:style w:type="character" w:styleId="WW8Num2z0">
    <w:name w:val="WW8Num2z0"/>
    <w:qFormat/>
    <w:rPr>
      <w:b w:val="false"/>
      <w:i w:val="false"/>
      <w:color w:val="000000"/>
    </w:rPr>
  </w:style>
  <w:style w:type="character" w:styleId="WW8Num3z0">
    <w:name w:val="WW8Num3z0"/>
    <w:qFormat/>
    <w:rPr>
      <w:color w:val="000000"/>
    </w:rPr>
  </w:style>
  <w:style w:type="character" w:styleId="WW8Num3z1">
    <w:name w:val="WW8Num3z1"/>
    <w:qFormat/>
    <w:rPr/>
  </w:style>
  <w:style w:type="character" w:styleId="WW8Num5z0">
    <w:name w:val="WW8Num5z0"/>
    <w:qFormat/>
    <w:rPr>
      <w:b w:val="false"/>
      <w:i w:val="false"/>
      <w:color w:val="000000"/>
    </w:rPr>
  </w:style>
  <w:style w:type="character" w:styleId="WW8Num6z0">
    <w:name w:val="WW8Num6z0"/>
    <w:qFormat/>
    <w:rPr>
      <w:color w:val="000000"/>
    </w:rPr>
  </w:style>
  <w:style w:type="character" w:styleId="WW8Num6z1">
    <w:name w:val="WW8Num6z1"/>
    <w:qFormat/>
    <w:rPr/>
  </w:style>
  <w:style w:type="character" w:styleId="WW8Num7z0">
    <w:name w:val="WW8Num7z0"/>
    <w:qFormat/>
    <w:rPr>
      <w:b w:val="false"/>
      <w:i w:val="false"/>
      <w:color w:val="000000"/>
    </w:rPr>
  </w:style>
  <w:style w:type="character" w:styleId="WW8Num8z0">
    <w:name w:val="WW8Num8z0"/>
    <w:qFormat/>
    <w:rPr>
      <w:b w:val="false"/>
      <w:i w:val="false"/>
      <w:color w:val="000000"/>
    </w:rPr>
  </w:style>
  <w:style w:type="character" w:styleId="WW8Num9z0">
    <w:name w:val="WW8Num9z0"/>
    <w:qFormat/>
    <w:rPr>
      <w:color w:val="000000"/>
    </w:rPr>
  </w:style>
  <w:style w:type="character" w:styleId="WW8Num9z1">
    <w:name w:val="WW8Num9z1"/>
    <w:qFormat/>
    <w:rPr/>
  </w:style>
  <w:style w:type="character" w:styleId="WW8Num10z0">
    <w:name w:val="WW8Num10z0"/>
    <w:qFormat/>
    <w:rPr>
      <w:color w:val="000000"/>
    </w:rPr>
  </w:style>
  <w:style w:type="character" w:styleId="WW8Num10z1">
    <w:name w:val="WW8Num10z1"/>
    <w:qFormat/>
    <w:rPr/>
  </w:style>
  <w:style w:type="character" w:styleId="WW8Num11z0">
    <w:name w:val="WW8Num11z0"/>
    <w:qFormat/>
    <w:rPr>
      <w:color w:val="000000"/>
    </w:rPr>
  </w:style>
  <w:style w:type="character" w:styleId="WW8Num11z1">
    <w:name w:val="WW8Num11z1"/>
    <w:qFormat/>
    <w:rPr/>
  </w:style>
  <w:style w:type="character" w:styleId="WW8Num12z0">
    <w:name w:val="WW8Num12z0"/>
    <w:qFormat/>
    <w:rPr>
      <w:b w:val="false"/>
      <w:i w:val="false"/>
      <w:color w:val="000000"/>
    </w:rPr>
  </w:style>
  <w:style w:type="character" w:styleId="WW8Num13z0">
    <w:name w:val="WW8Num13z0"/>
    <w:qFormat/>
    <w:rPr>
      <w:b w:val="false"/>
      <w:i w:val="false"/>
      <w:color w:val="000000"/>
    </w:rPr>
  </w:style>
  <w:style w:type="character" w:styleId="WW8Num14z1">
    <w:name w:val="WW8Num14z1"/>
    <w:qFormat/>
    <w:rPr>
      <w:rFonts w:ascii="Courier New" w:hAnsi="Courier New" w:eastAsia="Courier New" w:cs="Courier New"/>
    </w:rPr>
  </w:style>
  <w:style w:type="character" w:styleId="WW8Num14z2">
    <w:name w:val="WW8Num14z2"/>
    <w:qFormat/>
    <w:rPr>
      <w:rFonts w:ascii="Wingdings" w:hAnsi="Wingdings" w:eastAsia="Wingdings" w:cs="Wingdings"/>
    </w:rPr>
  </w:style>
  <w:style w:type="character" w:styleId="WW8Num14z3">
    <w:name w:val="WW8Num14z3"/>
    <w:qFormat/>
    <w:rPr>
      <w:rFonts w:ascii="Symbol" w:hAnsi="Symbol" w:eastAsia="Symbol" w:cs="Symbol"/>
    </w:rPr>
  </w:style>
  <w:style w:type="character" w:styleId="WW8Num15z0">
    <w:name w:val="WW8Num15z0"/>
    <w:qFormat/>
    <w:rPr>
      <w:b w:val="false"/>
      <w:i w:val="false"/>
      <w:color w:val="000000"/>
    </w:rPr>
  </w:style>
  <w:style w:type="character" w:styleId="WW8Num16z0">
    <w:name w:val="WW8Num16z0"/>
    <w:qFormat/>
    <w:rPr>
      <w:color w:val="000000"/>
    </w:rPr>
  </w:style>
  <w:style w:type="character" w:styleId="Style5">
    <w:name w:val="Основной шрифт абзаца"/>
    <w:qFormat/>
    <w:rPr/>
  </w:style>
  <w:style w:type="character" w:styleId="Heading1Char">
    <w:name w:val="Heading 1 Char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qFormat/>
    <w:rPr>
      <w:rFonts w:ascii="Arial" w:hAnsi="Arial" w:eastAsia="Arial" w:cs="Arial"/>
      <w:sz w:val="34"/>
    </w:rPr>
  </w:style>
  <w:style w:type="character" w:styleId="Heading3Char">
    <w:name w:val="Heading 3 Char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qFormat/>
    <w:rPr>
      <w:sz w:val="48"/>
      <w:szCs w:val="48"/>
    </w:rPr>
  </w:style>
  <w:style w:type="character" w:styleId="SubtitleChar">
    <w:name w:val="Subtitle Char"/>
    <w:qFormat/>
    <w:rPr>
      <w:sz w:val="24"/>
      <w:szCs w:val="24"/>
    </w:rPr>
  </w:style>
  <w:style w:type="character" w:styleId="QuoteChar">
    <w:name w:val="Quote Char"/>
    <w:qFormat/>
    <w:rPr>
      <w:i/>
    </w:rPr>
  </w:style>
  <w:style w:type="character" w:styleId="IntenseQuoteChar">
    <w:name w:val="Intense Quote Char"/>
    <w:qFormat/>
    <w:rPr>
      <w:i/>
    </w:rPr>
  </w:style>
  <w:style w:type="character" w:styleId="HeaderChar">
    <w:name w:val="Header Char"/>
    <w:basedOn w:val="Style5"/>
    <w:qFormat/>
    <w:rPr/>
  </w:style>
  <w:style w:type="character" w:styleId="CaptionChar">
    <w:name w:val="Caption Char"/>
    <w:qFormat/>
    <w:rPr/>
  </w:style>
  <w:style w:type="character" w:styleId="FootnoteTextChar">
    <w:name w:val="Footnote Text Char"/>
    <w:qFormat/>
    <w:rPr>
      <w:sz w:val="18"/>
    </w:rPr>
  </w:style>
  <w:style w:type="character" w:styleId="EndnoteTextChar">
    <w:name w:val="Endnote Text Char"/>
    <w:qFormat/>
    <w:rPr>
      <w:sz w:val="20"/>
    </w:rPr>
  </w:style>
  <w:style w:type="character" w:styleId="1">
    <w:name w:val="Заголовок 1 Знак"/>
    <w:qFormat/>
    <w:rPr>
      <w:rFonts w:ascii="Arial" w:hAnsi="Arial" w:eastAsia="Arial" w:cs="Arial"/>
      <w:sz w:val="40"/>
      <w:szCs w:val="40"/>
    </w:rPr>
  </w:style>
  <w:style w:type="character" w:styleId="2">
    <w:name w:val="Заголовок 2 Знак"/>
    <w:qFormat/>
    <w:rPr>
      <w:rFonts w:ascii="Arial" w:hAnsi="Arial" w:eastAsia="Arial" w:cs="Arial"/>
      <w:sz w:val="34"/>
    </w:rPr>
  </w:style>
  <w:style w:type="character" w:styleId="3">
    <w:name w:val="Заголовок 3 Знак"/>
    <w:qFormat/>
    <w:rPr>
      <w:rFonts w:ascii="Arial" w:hAnsi="Arial" w:eastAsia="Arial" w:cs="Arial"/>
      <w:sz w:val="30"/>
      <w:szCs w:val="30"/>
    </w:rPr>
  </w:style>
  <w:style w:type="character" w:styleId="4">
    <w:name w:val="Заголовок 4 Знак"/>
    <w:qFormat/>
    <w:rPr>
      <w:rFonts w:ascii="Arial" w:hAnsi="Arial" w:eastAsia="Arial" w:cs="Arial"/>
      <w:b/>
      <w:bCs/>
      <w:sz w:val="26"/>
      <w:szCs w:val="26"/>
    </w:rPr>
  </w:style>
  <w:style w:type="character" w:styleId="5">
    <w:name w:val="Заголовок 5 Знак"/>
    <w:qFormat/>
    <w:rPr>
      <w:rFonts w:ascii="Arial" w:hAnsi="Arial" w:eastAsia="Arial" w:cs="Arial"/>
      <w:b/>
      <w:bCs/>
      <w:sz w:val="24"/>
      <w:szCs w:val="24"/>
    </w:rPr>
  </w:style>
  <w:style w:type="character" w:styleId="6">
    <w:name w:val="Заголовок 6 Знак"/>
    <w:qFormat/>
    <w:rPr>
      <w:rFonts w:ascii="Arial" w:hAnsi="Arial" w:eastAsia="Arial" w:cs="Arial"/>
      <w:b/>
      <w:bCs/>
      <w:sz w:val="22"/>
      <w:szCs w:val="22"/>
    </w:rPr>
  </w:style>
  <w:style w:type="character" w:styleId="7">
    <w:name w:val="Заголовок 7 Знак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>
    <w:name w:val="Заголовок 8 Знак"/>
    <w:qFormat/>
    <w:rPr>
      <w:rFonts w:ascii="Arial" w:hAnsi="Arial" w:eastAsia="Arial" w:cs="Arial"/>
      <w:i/>
      <w:iCs/>
      <w:sz w:val="22"/>
      <w:szCs w:val="22"/>
    </w:rPr>
  </w:style>
  <w:style w:type="character" w:styleId="9">
    <w:name w:val="Заголовок 9 Знак"/>
    <w:qFormat/>
    <w:rPr>
      <w:rFonts w:ascii="Arial" w:hAnsi="Arial" w:eastAsia="Arial" w:cs="Arial"/>
      <w:i/>
      <w:iCs/>
      <w:sz w:val="21"/>
      <w:szCs w:val="21"/>
    </w:rPr>
  </w:style>
  <w:style w:type="character" w:styleId="Style6">
    <w:name w:val="Заголовок Знак"/>
    <w:qFormat/>
    <w:rPr>
      <w:sz w:val="48"/>
      <w:szCs w:val="48"/>
    </w:rPr>
  </w:style>
  <w:style w:type="character" w:styleId="Style7">
    <w:name w:val="Подзаголовок Знак"/>
    <w:qFormat/>
    <w:rPr>
      <w:sz w:val="24"/>
      <w:szCs w:val="24"/>
    </w:rPr>
  </w:style>
  <w:style w:type="character" w:styleId="21">
    <w:name w:val="Цитата 2 Знак"/>
    <w:qFormat/>
    <w:rPr>
      <w:i/>
    </w:rPr>
  </w:style>
  <w:style w:type="character" w:styleId="Style8">
    <w:name w:val="Выделенная цитата Знак"/>
    <w:qFormat/>
    <w:rPr>
      <w:i/>
    </w:rPr>
  </w:style>
  <w:style w:type="character" w:styleId="Style9">
    <w:name w:val="Верхний колонтитул Знак"/>
    <w:basedOn w:val="Style5"/>
    <w:qFormat/>
    <w:rPr/>
  </w:style>
  <w:style w:type="character" w:styleId="FooterChar">
    <w:name w:val="Footer Char"/>
    <w:basedOn w:val="Style5"/>
    <w:qFormat/>
    <w:rPr/>
  </w:style>
  <w:style w:type="character" w:styleId="Style10">
    <w:name w:val="Нижний колонтитул Знак"/>
    <w:qFormat/>
    <w:rPr/>
  </w:style>
  <w:style w:type="character" w:styleId="Style11">
    <w:name w:val="Текст сноски Знак"/>
    <w:qFormat/>
    <w:rPr>
      <w:sz w:val="18"/>
    </w:rPr>
  </w:style>
  <w:style w:type="character" w:styleId="FootnoteCharacters">
    <w:name w:val="Footnote Characters"/>
    <w:qFormat/>
    <w:rPr>
      <w:vertAlign w:val="superscript"/>
    </w:rPr>
  </w:style>
  <w:style w:type="character" w:styleId="Style12">
    <w:name w:val="Текст концевой сноски Знак"/>
    <w:qFormat/>
    <w:rPr>
      <w:sz w:val="20"/>
    </w:rPr>
  </w:style>
  <w:style w:type="character" w:styleId="EndnoteCharacters">
    <w:name w:val="Endnote Characters"/>
    <w:qFormat/>
    <w:rPr>
      <w:vertAlign w:val="superscript"/>
    </w:rPr>
  </w:style>
  <w:style w:type="character" w:styleId="Hyperlink">
    <w:name w:val="Hyperlink"/>
    <w:rPr>
      <w:color w:val="0000FF"/>
      <w:u w:val="single"/>
    </w:rPr>
  </w:style>
  <w:style w:type="paragraph" w:styleId="Heading">
    <w:name w:val="Heading"/>
    <w:basedOn w:val="Normal"/>
    <w:next w:val="Normal"/>
    <w:qFormat/>
    <w:pPr>
      <w:spacing w:before="300" w:after="200"/>
      <w:contextualSpacing/>
    </w:pPr>
    <w:rPr>
      <w:sz w:val="48"/>
      <w:szCs w:val="4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Subtitle">
    <w:name w:val="Subtitle"/>
    <w:basedOn w:val="Normal"/>
    <w:next w:val="Normal"/>
    <w:qFormat/>
    <w:pPr>
      <w:spacing w:before="200" w:after="200"/>
    </w:pPr>
    <w:rPr>
      <w:sz w:val="24"/>
      <w:szCs w:val="24"/>
    </w:rPr>
  </w:style>
  <w:style w:type="paragraph" w:styleId="22">
    <w:name w:val="Цитата 2"/>
    <w:basedOn w:val="Normal"/>
    <w:next w:val="Normal"/>
    <w:qFormat/>
    <w:pPr>
      <w:ind w:hanging="0" w:left="720" w:right="720"/>
    </w:pPr>
    <w:rPr>
      <w:i/>
    </w:rPr>
  </w:style>
  <w:style w:type="paragraph" w:styleId="Style13">
    <w:name w:val="Выделенная цитата"/>
    <w:basedOn w:val="Normal"/>
    <w:next w:val="Normal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fill="F2F2F2" w:val="clear"/>
      <w:ind w:hanging="0" w:left="720" w:right="720"/>
    </w:pPr>
    <w:rPr>
      <w:i/>
    </w:rPr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Normal"/>
    <w:pPr>
      <w:spacing w:lineRule="auto" w:line="240" w:before="0" w:after="0"/>
    </w:pPr>
    <w:rPr/>
  </w:style>
  <w:style w:type="paragraph" w:styleId="Footer">
    <w:name w:val="Footer"/>
    <w:basedOn w:val="Normal"/>
    <w:pPr>
      <w:spacing w:lineRule="auto" w:line="240" w:before="0" w:after="0"/>
    </w:pPr>
    <w:rPr/>
  </w:style>
  <w:style w:type="paragraph" w:styleId="Style14">
    <w:name w:val="Название объекта"/>
    <w:basedOn w:val="Normal"/>
    <w:next w:val="Normal"/>
    <w:qFormat/>
    <w:pPr/>
    <w:rPr>
      <w:b/>
      <w:bCs/>
      <w:color w:val="4F81BD"/>
      <w:sz w:val="18"/>
      <w:szCs w:val="18"/>
    </w:rPr>
  </w:style>
  <w:style w:type="paragraph" w:styleId="FootnoteText">
    <w:name w:val="Footnote Text"/>
    <w:basedOn w:val="Normal"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next w:val="Normal"/>
    <w:pPr>
      <w:spacing w:before="0" w:after="57"/>
    </w:pPr>
    <w:rPr/>
  </w:style>
  <w:style w:type="paragraph" w:styleId="TOC2">
    <w:name w:val="TOC 2"/>
    <w:basedOn w:val="Normal"/>
    <w:next w:val="Normal"/>
    <w:pPr>
      <w:spacing w:before="0" w:after="57"/>
      <w:ind w:hanging="0" w:left="283" w:right="0"/>
    </w:pPr>
    <w:rPr/>
  </w:style>
  <w:style w:type="paragraph" w:styleId="TOC3">
    <w:name w:val="TOC 3"/>
    <w:basedOn w:val="Normal"/>
    <w:next w:val="Normal"/>
    <w:pPr>
      <w:spacing w:before="0" w:after="57"/>
      <w:ind w:hanging="0" w:left="567" w:right="0"/>
    </w:pPr>
    <w:rPr/>
  </w:style>
  <w:style w:type="paragraph" w:styleId="TOC4">
    <w:name w:val="TOC 4"/>
    <w:basedOn w:val="Normal"/>
    <w:next w:val="Normal"/>
    <w:pPr>
      <w:spacing w:before="0" w:after="57"/>
      <w:ind w:hanging="0" w:left="850" w:right="0"/>
    </w:pPr>
    <w:rPr/>
  </w:style>
  <w:style w:type="paragraph" w:styleId="TOC5">
    <w:name w:val="TOC 5"/>
    <w:basedOn w:val="Normal"/>
    <w:next w:val="Normal"/>
    <w:pPr>
      <w:spacing w:before="0" w:after="57"/>
      <w:ind w:hanging="0" w:left="1134" w:right="0"/>
    </w:pPr>
    <w:rPr/>
  </w:style>
  <w:style w:type="paragraph" w:styleId="TOC6">
    <w:name w:val="TOC 6"/>
    <w:basedOn w:val="Normal"/>
    <w:next w:val="Normal"/>
    <w:pPr>
      <w:spacing w:before="0" w:after="57"/>
      <w:ind w:hanging="0" w:left="1417" w:right="0"/>
    </w:pPr>
    <w:rPr/>
  </w:style>
  <w:style w:type="paragraph" w:styleId="TOC7">
    <w:name w:val="TOC 7"/>
    <w:basedOn w:val="Normal"/>
    <w:next w:val="Normal"/>
    <w:pPr>
      <w:spacing w:before="0" w:after="57"/>
      <w:ind w:hanging="0" w:left="1701" w:right="0"/>
    </w:pPr>
    <w:rPr/>
  </w:style>
  <w:style w:type="paragraph" w:styleId="TOC8">
    <w:name w:val="TOC 8"/>
    <w:basedOn w:val="Normal"/>
    <w:next w:val="Normal"/>
    <w:pPr>
      <w:spacing w:before="0" w:after="57"/>
      <w:ind w:hanging="0" w:left="1984" w:right="0"/>
    </w:pPr>
    <w:rPr/>
  </w:style>
  <w:style w:type="paragraph" w:styleId="TOC9">
    <w:name w:val="TOC 9"/>
    <w:basedOn w:val="Normal"/>
    <w:next w:val="Normal"/>
    <w:pPr>
      <w:spacing w:before="0" w:after="57"/>
      <w:ind w:hanging="0" w:left="2268" w:right="0"/>
    </w:pPr>
    <w:rPr/>
  </w:style>
  <w:style w:type="paragraph" w:styleId="Style15">
    <w:name w:val="Заголовок оглавления"/>
    <w:qFormat/>
    <w:pPr>
      <w:widowControl/>
      <w:bidi w:val="0"/>
      <w:spacing w:lineRule="auto" w:line="276" w:before="0" w:after="200"/>
    </w:pPr>
    <w:rPr>
      <w:rFonts w:ascii="Calibri" w:hAnsi="Calibri" w:eastAsia="Calibri" w:cs="Times New Roman"/>
      <w:color w:val="auto"/>
      <w:sz w:val="22"/>
      <w:szCs w:val="22"/>
      <w:lang w:val="ru-RU" w:bidi="ar-SA" w:eastAsia="zh-CN"/>
    </w:rPr>
  </w:style>
  <w:style w:type="paragraph" w:styleId="Style16">
    <w:name w:val="Перечень рисунков"/>
    <w:basedOn w:val="Normal"/>
    <w:next w:val="Normal"/>
    <w:qFormat/>
    <w:pPr>
      <w:spacing w:before="0" w:after="0"/>
    </w:pPr>
    <w:rPr/>
  </w:style>
  <w:style w:type="paragraph" w:styleId="ListParagraph1">
    <w:name w:val="List Paragraph1"/>
    <w:basedOn w:val="Normal"/>
    <w:qFormat/>
    <w:pPr>
      <w:ind w:hanging="0" w:left="720" w:right="0"/>
    </w:pPr>
    <w:rPr>
      <w:rFonts w:eastAsia="Times New Roman" w:cs="Calibri"/>
    </w:rPr>
  </w:style>
  <w:style w:type="paragraph" w:styleId="Style17">
    <w:name w:val="Абзац списка"/>
    <w:basedOn w:val="Normal"/>
    <w:qFormat/>
    <w:pPr>
      <w:spacing w:before="0" w:after="200"/>
      <w:ind w:hanging="0" w:left="720" w:right="0"/>
      <w:contextualSpacing/>
    </w:pPr>
    <w:rPr/>
  </w:style>
  <w:style w:type="paragraph" w:styleId="Style18">
    <w:name w:val="Без интервала"/>
    <w:qFormat/>
    <w:pPr>
      <w:widowControl/>
      <w:bidi w:val="0"/>
    </w:pPr>
    <w:rPr>
      <w:rFonts w:ascii="Calibri" w:hAnsi="Calibri" w:eastAsia="Calibri" w:cs="Times New Roman"/>
      <w:color w:val="auto"/>
      <w:sz w:val="22"/>
      <w:szCs w:val="22"/>
      <w:lang w:val="ru-RU" w:bidi="ar-SA" w:eastAsia="zh-CN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LibreOffice/7.6.7.2$Linux_X86_64 LibreOffice_project/60$Build-2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2026-08-07T13:28:00Z</dcterms:created>
  <dc:creator>Салищева Екатерина Константиновна</dc:creator>
  <dc:description/>
  <dc:language>en-US</dc:language>
  <cp:lastModifiedBy>Екатерина Константиновна Салищева</cp:lastModifiedBy>
  <dcterms:modified xsi:type="dcterms:W3CDTF">2026-08-07T13:28:00Z</dcterms:modified>
  <cp:revision>2</cp:revision>
  <dc:subject/>
  <dc:title/>
</cp:coreProperties>
</file>