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120" w:line="240" w:lineRule="auto"/>
        <w:rPr>
          <w:rFonts w:ascii="Times New Roman" w:hAnsi="Times New Roman" w:eastAsia="Calibri" w:cs="Times New Roman"/>
          <w:b/>
          <w:bCs/>
          <w:sz w:val="24"/>
          <w:szCs w:val="24"/>
        </w:rPr>
      </w:pPr>
      <w:r>
        <w:rPr>
          <w:rFonts w:ascii="Times New Roman" w:hAnsi="Times New Roman" w:eastAsia="Calibri" w:cs="Times New Roman"/>
          <w:b/>
          <w:bCs/>
          <w:sz w:val="24"/>
          <w:szCs w:val="24"/>
        </w:rPr>
        <w:t xml:space="preserve">Протокол подведения итогов определения поставщика</w:t>
      </w:r>
      <w:r>
        <w:rPr>
          <w:rFonts w:ascii="Times New Roman" w:hAnsi="Times New Roman" w:eastAsia="Calibri" w:cs="Times New Roman"/>
          <w:b/>
          <w:bCs/>
          <w:sz w:val="24"/>
          <w:szCs w:val="24"/>
        </w:rPr>
      </w:r>
      <w:r>
        <w:rPr>
          <w:rFonts w:ascii="Times New Roman" w:hAnsi="Times New Roman" w:eastAsia="Calibri" w:cs="Times New Roman"/>
          <w:b/>
          <w:bCs/>
          <w:sz w:val="24"/>
          <w:szCs w:val="24"/>
        </w:rPr>
      </w:r>
    </w:p>
    <w:p>
      <w:pPr>
        <w:jc w:val="center"/>
        <w:spacing w:after="120" w:line="240" w:lineRule="auto"/>
        <w:rPr>
          <w:rFonts w:ascii="Times New Roman" w:hAnsi="Times New Roman" w:eastAsia="Calibri" w:cs="Times New Roman"/>
          <w:b/>
          <w:sz w:val="24"/>
          <w:szCs w:val="24"/>
          <w:lang w:eastAsia="ru-RU" w:bidi="hi-IN"/>
        </w:rPr>
      </w:pPr>
      <w:r>
        <w:rPr>
          <w:rFonts w:ascii="Times New Roman" w:hAnsi="Times New Roman" w:eastAsia="Calibri" w:cs="Times New Roman"/>
          <w:b/>
          <w:bCs/>
          <w:sz w:val="24"/>
          <w:szCs w:val="24"/>
        </w:rPr>
        <w:t xml:space="preserve">по закупке </w:t>
      </w:r>
      <w:r>
        <w:rPr>
          <w:rFonts w:ascii="Times New Roman" w:hAnsi="Times New Roman" w:eastAsia="Calibri" w:cs="Times New Roman"/>
          <w:b/>
          <w:sz w:val="24"/>
          <w:szCs w:val="24"/>
          <w:lang w:eastAsia="ru-RU" w:bidi="hi-IN"/>
        </w:rPr>
        <w:t xml:space="preserve">0332100004026000022</w:t>
      </w:r>
      <w:r>
        <w:rPr>
          <w:rFonts w:ascii="Times New Roman" w:hAnsi="Times New Roman" w:eastAsia="Calibri" w:cs="Times New Roman"/>
          <w:b/>
          <w:sz w:val="24"/>
          <w:szCs w:val="24"/>
          <w:lang w:eastAsia="ru-RU" w:bidi="hi-IN"/>
        </w:rPr>
      </w:r>
      <w:r>
        <w:rPr>
          <w:rFonts w:ascii="Times New Roman" w:hAnsi="Times New Roman" w:eastAsia="Calibri" w:cs="Times New Roman"/>
          <w:b/>
          <w:sz w:val="24"/>
          <w:szCs w:val="24"/>
          <w:lang w:eastAsia="ru-RU" w:bidi="hi-IN"/>
        </w:rPr>
      </w:r>
    </w:p>
    <w:p>
      <w:pPr>
        <w:jc w:val="center"/>
        <w:spacing w:after="120" w:line="240" w:lineRule="auto"/>
        <w:rPr>
          <w:rFonts w:ascii="Times New Roman" w:hAnsi="Times New Roman" w:eastAsia="Calibri" w:cs="Times New Roman"/>
          <w:b/>
          <w:sz w:val="24"/>
          <w:szCs w:val="24"/>
          <w:lang w:eastAsia="ru-RU" w:bidi="hi-IN"/>
        </w:rPr>
      </w:pPr>
      <w:r>
        <w:rPr>
          <w:rFonts w:ascii="Times New Roman" w:hAnsi="Times New Roman" w:eastAsia="Calibri" w:cs="Times New Roman"/>
          <w:b/>
          <w:sz w:val="24"/>
          <w:szCs w:val="24"/>
          <w:lang w:eastAsia="ru-RU" w:bidi="hi-IN"/>
        </w:rPr>
      </w:r>
      <w:r>
        <w:rPr>
          <w:rFonts w:ascii="Times New Roman" w:hAnsi="Times New Roman" w:eastAsia="Calibri" w:cs="Times New Roman"/>
          <w:b/>
          <w:sz w:val="24"/>
          <w:szCs w:val="24"/>
          <w:lang w:eastAsia="ru-RU" w:bidi="hi-IN"/>
        </w:rPr>
      </w:r>
      <w:r>
        <w:rPr>
          <w:rFonts w:ascii="Times New Roman" w:hAnsi="Times New Roman" w:eastAsia="Calibri" w:cs="Times New Roman"/>
          <w:b/>
          <w:sz w:val="24"/>
          <w:szCs w:val="24"/>
          <w:lang w:eastAsia="ru-RU" w:bidi="hi-IN"/>
        </w:rPr>
      </w:r>
    </w:p>
    <w:p>
      <w:pPr>
        <w:jc w:val="right"/>
        <w:spacing w:after="120" w:line="240" w:lineRule="auto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  <w:lang w:val="en-US"/>
        </w:rPr>
        <w:t xml:space="preserve">06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.</w:t>
      </w:r>
      <w:r>
        <w:rPr>
          <w:rFonts w:ascii="Times New Roman" w:hAnsi="Times New Roman" w:eastAsia="Calibri" w:cs="Times New Roman"/>
          <w:bCs/>
          <w:sz w:val="24"/>
          <w:szCs w:val="24"/>
          <w:lang w:val="en-US"/>
        </w:rPr>
        <w:t xml:space="preserve">08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.202</w:t>
      </w:r>
      <w:r>
        <w:rPr>
          <w:rFonts w:ascii="Times New Roman" w:hAnsi="Times New Roman" w:eastAsia="Calibri" w:cs="Times New Roman"/>
          <w:bCs/>
          <w:sz w:val="24"/>
          <w:szCs w:val="24"/>
          <w:lang w:val="en-US"/>
        </w:rPr>
        <w:t xml:space="preserve">6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г.</w:t>
      </w:r>
      <w:r>
        <w:rPr>
          <w:rFonts w:ascii="Times New Roman" w:hAnsi="Times New Roman" w:eastAsia="Calibri" w:cs="Times New Roman"/>
          <w:bCs/>
          <w:sz w:val="24"/>
          <w:szCs w:val="24"/>
        </w:rPr>
      </w:r>
      <w:r>
        <w:rPr>
          <w:rFonts w:ascii="Times New Roman" w:hAnsi="Times New Roman" w:eastAsia="Calibri" w:cs="Times New Roman"/>
          <w:bCs/>
          <w:sz w:val="24"/>
          <w:szCs w:val="24"/>
        </w:rPr>
      </w:r>
    </w:p>
    <w:p>
      <w:pPr>
        <w:jc w:val="right"/>
        <w:spacing w:after="120" w:line="240" w:lineRule="auto"/>
        <w:rPr>
          <w:rFonts w:ascii="Times New Roman" w:hAnsi="Times New Roman" w:eastAsia="Calibri" w:cs="Times New Roman"/>
          <w:bCs/>
          <w:sz w:val="24"/>
          <w:szCs w:val="24"/>
        </w:rPr>
      </w:pPr>
      <w:r/>
      <w:bookmarkStart w:id="0" w:name="_GoBack"/>
      <w:r/>
      <w:bookmarkEnd w:id="0"/>
      <w:r>
        <w:rPr>
          <w:rFonts w:ascii="Times New Roman" w:hAnsi="Times New Roman" w:eastAsia="Calibri" w:cs="Times New Roman"/>
          <w:bCs/>
          <w:sz w:val="24"/>
          <w:szCs w:val="24"/>
        </w:rPr>
      </w:r>
      <w:r>
        <w:rPr>
          <w:rFonts w:ascii="Times New Roman" w:hAnsi="Times New Roman" w:eastAsia="Calibri" w:cs="Times New Roman"/>
          <w:bCs/>
          <w:sz w:val="24"/>
          <w:szCs w:val="24"/>
        </w:rPr>
      </w:r>
    </w:p>
    <w:p>
      <w:pPr>
        <w:pStyle w:val="842"/>
        <w:numPr>
          <w:ilvl w:val="0"/>
          <w:numId w:val="3"/>
        </w:numPr>
        <w:ind w:left="0" w:firstLine="567"/>
        <w:jc w:val="both"/>
        <w:spacing w:after="0" w:line="240" w:lineRule="auto"/>
        <w:tabs>
          <w:tab w:val="clear" w:pos="720" w:leader="none"/>
          <w:tab w:val="num" w:pos="993" w:leader="none"/>
        </w:tabs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Заказчик: Территориальный орган Федеральной службы государственной статистики по Нижегородской области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pStyle w:val="842"/>
        <w:numPr>
          <w:ilvl w:val="0"/>
          <w:numId w:val="3"/>
        </w:numPr>
        <w:ind w:left="0" w:firstLine="567"/>
        <w:jc w:val="both"/>
        <w:spacing w:after="0" w:line="240" w:lineRule="auto"/>
        <w:tabs>
          <w:tab w:val="clear" w:pos="720" w:leader="none"/>
          <w:tab w:val="num" w:pos="993" w:leader="none"/>
        </w:tabs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  <w:lang w:eastAsia="zh-CN" w:bidi="hi-IN"/>
        </w:rPr>
        <w:t xml:space="preserve">Идентификационный код закупки: </w:t>
      </w:r>
      <w:r>
        <w:rPr>
          <w:rFonts w:ascii="Times New Roman" w:hAnsi="Times New Roman" w:eastAsia="Calibri" w:cs="Times New Roman"/>
          <w:sz w:val="24"/>
          <w:szCs w:val="24"/>
          <w:lang w:eastAsia="zh-CN" w:bidi="hi-IN"/>
        </w:rPr>
        <w:t xml:space="preserve">261526203480052620100100470010000000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pStyle w:val="842"/>
        <w:numPr>
          <w:ilvl w:val="0"/>
          <w:numId w:val="3"/>
        </w:numPr>
        <w:ind w:left="0" w:firstLine="567"/>
        <w:jc w:val="both"/>
        <w:spacing w:after="0" w:line="240" w:lineRule="auto"/>
        <w:tabs>
          <w:tab w:val="clear" w:pos="720" w:leader="none"/>
          <w:tab w:val="num" w:pos="993" w:leader="none"/>
        </w:tabs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Номер закупки</w:t>
      </w:r>
      <w:r>
        <w:rPr>
          <w:rFonts w:ascii="Times New Roman" w:hAnsi="Times New Roman" w:eastAsia="Calibri" w:cs="Times New Roman"/>
          <w:sz w:val="24"/>
          <w:szCs w:val="24"/>
        </w:rPr>
        <w:t xml:space="preserve">: </w:t>
      </w:r>
      <w:r>
        <w:rPr>
          <w:rFonts w:ascii="Times New Roman" w:hAnsi="Times New Roman" w:eastAsia="Calibri" w:cs="Times New Roman"/>
          <w:sz w:val="24"/>
          <w:szCs w:val="24"/>
        </w:rPr>
        <w:t xml:space="preserve">0332100004026000022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pStyle w:val="842"/>
        <w:numPr>
          <w:ilvl w:val="0"/>
          <w:numId w:val="3"/>
        </w:numPr>
        <w:ind w:left="0" w:firstLine="567"/>
        <w:jc w:val="both"/>
        <w:spacing w:after="0" w:line="240" w:lineRule="auto"/>
        <w:tabs>
          <w:tab w:val="clear" w:pos="720" w:leader="none"/>
          <w:tab w:val="num" w:pos="993" w:leader="none"/>
        </w:tabs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Наименование объекта закупки: </w:t>
      </w:r>
      <w:r>
        <w:rPr>
          <w:rFonts w:ascii="Times New Roman" w:hAnsi="Times New Roman" w:eastAsia="Calibri" w:cs="Times New Roman"/>
          <w:sz w:val="24"/>
          <w:szCs w:val="24"/>
          <w:lang w:eastAsia="zh-CN" w:bidi="hi-IN"/>
        </w:rPr>
        <w:t xml:space="preserve">Элемент первичный и батарея первичных элементов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pStyle w:val="842"/>
        <w:numPr>
          <w:ilvl w:val="0"/>
          <w:numId w:val="3"/>
        </w:numPr>
        <w:ind w:left="0" w:firstLine="567"/>
        <w:jc w:val="both"/>
        <w:spacing w:after="0" w:line="240" w:lineRule="auto"/>
        <w:tabs>
          <w:tab w:val="clear" w:pos="720" w:leader="none"/>
          <w:tab w:val="num" w:pos="993" w:leader="none"/>
          <w:tab w:val="num" w:pos="1134" w:leader="none"/>
        </w:tabs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Начальная (максимальная) цена контракта: </w:t>
      </w:r>
      <w:r>
        <w:rPr>
          <w:rFonts w:ascii="Times New Roman" w:hAnsi="Times New Roman" w:eastAsia="Calibri" w:cs="Times New Roman"/>
          <w:sz w:val="24"/>
          <w:szCs w:val="24"/>
          <w:lang w:eastAsia="zh-CN" w:bidi="hi-IN"/>
        </w:rPr>
        <w:t xml:space="preserve">1 009 (Одна тысяча девять) рублей 92 копейки</w:t>
      </w:r>
      <w:r>
        <w:rPr>
          <w:rFonts w:ascii="Times New Roman" w:hAnsi="Times New Roman" w:eastAsia="Calibri" w:cs="Times New Roman"/>
          <w:sz w:val="24"/>
          <w:szCs w:val="24"/>
          <w:lang w:eastAsia="zh-CN" w:bidi="hi-IN"/>
        </w:rPr>
        <w:t xml:space="preserve">.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pStyle w:val="842"/>
        <w:numPr>
          <w:ilvl w:val="0"/>
          <w:numId w:val="3"/>
        </w:numPr>
        <w:ind w:left="0" w:firstLine="567"/>
        <w:jc w:val="both"/>
        <w:spacing w:after="0" w:line="240" w:lineRule="auto"/>
        <w:tabs>
          <w:tab w:val="clear" w:pos="720" w:leader="none"/>
          <w:tab w:val="num" w:pos="993" w:leader="none"/>
          <w:tab w:val="num" w:pos="1134" w:leader="none"/>
        </w:tabs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Извещение о проведении закупки, </w:t>
      </w:r>
      <w:r>
        <w:rPr>
          <w:rFonts w:ascii="Times New Roman" w:hAnsi="Times New Roman" w:eastAsia="Calibri" w:cs="Times New Roman"/>
          <w:sz w:val="24"/>
          <w:szCs w:val="24"/>
          <w:lang w:eastAsia="ru-RU" w:bidi="hi-IN"/>
        </w:rPr>
        <w:t xml:space="preserve">осуществляемой в соответствии с частью 12 статьи 93 Закона № 44-ФЗ</w:t>
      </w:r>
      <w:r>
        <w:rPr>
          <w:rFonts w:ascii="Times New Roman" w:hAnsi="Times New Roman" w:eastAsia="Calibri" w:cs="Times New Roman"/>
          <w:sz w:val="24"/>
          <w:szCs w:val="24"/>
        </w:rPr>
        <w:t xml:space="preserve">, размещено на официальном сайте единой информационной системы в сфере закупок </w:t>
      </w:r>
      <w:r>
        <w:rPr>
          <w:rFonts w:ascii="Times New Roman" w:hAnsi="Times New Roman" w:eastAsia="Calibri" w:cs="Times New Roman"/>
          <w:sz w:val="24"/>
          <w:szCs w:val="24"/>
          <w:u w:val="single"/>
        </w:rPr>
        <w:t xml:space="preserve">http://zakupki.gov.ru/</w:t>
      </w:r>
      <w:r>
        <w:rPr>
          <w:rFonts w:ascii="Times New Roman" w:hAnsi="Times New Roman" w:eastAsia="Calibri" w:cs="Times New Roman"/>
          <w:sz w:val="24"/>
          <w:szCs w:val="24"/>
        </w:rPr>
        <w:t xml:space="preserve">, а также на сайте </w:t>
      </w:r>
      <w:r>
        <w:rPr>
          <w:rFonts w:ascii="Times New Roman" w:hAnsi="Times New Roman" w:eastAsia="Calibri" w:cs="Times New Roman"/>
          <w:sz w:val="24"/>
          <w:szCs w:val="24"/>
        </w:rPr>
        <w:t xml:space="preserve">э</w:t>
      </w:r>
      <w:r>
        <w:rPr>
          <w:rFonts w:ascii="Times New Roman" w:hAnsi="Times New Roman" w:eastAsia="Calibri" w:cs="Times New Roman"/>
          <w:sz w:val="24"/>
          <w:szCs w:val="24"/>
        </w:rPr>
        <w:t xml:space="preserve">лектронн</w:t>
      </w:r>
      <w:r>
        <w:rPr>
          <w:rFonts w:ascii="Times New Roman" w:hAnsi="Times New Roman" w:eastAsia="Calibri" w:cs="Times New Roman"/>
          <w:sz w:val="24"/>
          <w:szCs w:val="24"/>
        </w:rPr>
        <w:t xml:space="preserve">ой</w:t>
      </w:r>
      <w:r>
        <w:rPr>
          <w:rFonts w:ascii="Times New Roman" w:hAnsi="Times New Roman" w:eastAsia="Calibri" w:cs="Times New Roman"/>
          <w:sz w:val="24"/>
          <w:szCs w:val="24"/>
        </w:rPr>
        <w:t xml:space="preserve"> торгов</w:t>
      </w:r>
      <w:r>
        <w:rPr>
          <w:rFonts w:ascii="Times New Roman" w:hAnsi="Times New Roman" w:eastAsia="Calibri" w:cs="Times New Roman"/>
          <w:sz w:val="24"/>
          <w:szCs w:val="24"/>
        </w:rPr>
        <w:t xml:space="preserve">ой</w:t>
      </w:r>
      <w:r>
        <w:rPr>
          <w:rFonts w:ascii="Times New Roman" w:hAnsi="Times New Roman" w:eastAsia="Calibri" w:cs="Times New Roman"/>
          <w:sz w:val="24"/>
          <w:szCs w:val="24"/>
        </w:rPr>
        <w:t xml:space="preserve"> площадк</w:t>
      </w:r>
      <w:r>
        <w:rPr>
          <w:rFonts w:ascii="Times New Roman" w:hAnsi="Times New Roman" w:eastAsia="Calibri" w:cs="Times New Roman"/>
          <w:sz w:val="24"/>
          <w:szCs w:val="24"/>
        </w:rPr>
        <w:t xml:space="preserve">и</w:t>
      </w:r>
      <w:r>
        <w:rPr>
          <w:rFonts w:ascii="Times New Roman" w:hAnsi="Times New Roman" w:eastAsia="Calibri" w:cs="Times New Roman"/>
          <w:sz w:val="24"/>
          <w:szCs w:val="24"/>
        </w:rPr>
        <w:t xml:space="preserve"> «Фабрикант»</w:t>
      </w:r>
      <w:r>
        <w:rPr>
          <w:rFonts w:ascii="Times New Roman" w:hAnsi="Times New Roman" w:eastAsia="Calibri" w:cs="Times New Roman"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  <w:t xml:space="preserve">https://www.fabrikant.ru</w:t>
      </w:r>
      <w:r>
        <w:rPr>
          <w:rFonts w:ascii="Times New Roman" w:hAnsi="Times New Roman" w:eastAsia="Calibri" w:cs="Times New Roman"/>
          <w:sz w:val="24"/>
          <w:szCs w:val="24"/>
        </w:rPr>
        <w:t xml:space="preserve">.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pStyle w:val="842"/>
        <w:numPr>
          <w:ilvl w:val="0"/>
          <w:numId w:val="3"/>
        </w:numPr>
        <w:ind w:left="0" w:firstLine="567"/>
        <w:jc w:val="both"/>
        <w:spacing w:after="0" w:line="240" w:lineRule="auto"/>
        <w:tabs>
          <w:tab w:val="clear" w:pos="720" w:leader="none"/>
          <w:tab w:val="num" w:pos="993" w:leader="none"/>
          <w:tab w:val="num" w:pos="1134" w:leader="none"/>
        </w:tabs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Дата подведения итогов: </w:t>
      </w:r>
      <w:r>
        <w:rPr>
          <w:rFonts w:ascii="Times New Roman" w:hAnsi="Times New Roman" w:eastAsia="Calibri" w:cs="Times New Roman"/>
          <w:sz w:val="24"/>
          <w:szCs w:val="24"/>
          <w:lang w:eastAsia="zh-CN" w:bidi="hi-IN"/>
        </w:rPr>
        <w:t xml:space="preserve">06</w:t>
      </w:r>
      <w:r>
        <w:rPr>
          <w:rFonts w:ascii="Times New Roman" w:hAnsi="Times New Roman" w:eastAsia="Calibri" w:cs="Times New Roman"/>
          <w:sz w:val="24"/>
          <w:szCs w:val="24"/>
          <w:lang w:eastAsia="zh-CN" w:bidi="hi-IN"/>
        </w:rPr>
        <w:t xml:space="preserve">.</w:t>
      </w:r>
      <w:r>
        <w:rPr>
          <w:rFonts w:ascii="Times New Roman" w:hAnsi="Times New Roman" w:eastAsia="Calibri" w:cs="Times New Roman"/>
          <w:sz w:val="24"/>
          <w:szCs w:val="24"/>
          <w:lang w:eastAsia="zh-CN" w:bidi="hi-IN"/>
        </w:rPr>
        <w:t xml:space="preserve">08</w:t>
      </w:r>
      <w:r>
        <w:rPr>
          <w:rFonts w:ascii="Times New Roman" w:hAnsi="Times New Roman" w:eastAsia="Calibri" w:cs="Times New Roman"/>
          <w:sz w:val="24"/>
          <w:szCs w:val="24"/>
          <w:lang w:eastAsia="zh-CN" w:bidi="hi-IN"/>
        </w:rPr>
        <w:t xml:space="preserve">.202</w:t>
      </w:r>
      <w:r>
        <w:rPr>
          <w:rFonts w:ascii="Times New Roman" w:hAnsi="Times New Roman" w:eastAsia="Calibri" w:cs="Times New Roman"/>
          <w:sz w:val="24"/>
          <w:szCs w:val="24"/>
          <w:lang w:eastAsia="zh-CN" w:bidi="hi-IN"/>
        </w:rPr>
        <w:t xml:space="preserve">6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pStyle w:val="842"/>
        <w:numPr>
          <w:ilvl w:val="0"/>
          <w:numId w:val="3"/>
        </w:numPr>
        <w:ind w:left="0" w:firstLine="567"/>
        <w:jc w:val="both"/>
        <w:spacing w:after="0" w:line="240" w:lineRule="auto"/>
        <w:tabs>
          <w:tab w:val="left" w:pos="-562" w:leader="none"/>
          <w:tab w:val="clear" w:pos="720" w:leader="none"/>
          <w:tab w:val="num" w:pos="993" w:leader="none"/>
          <w:tab w:val="num" w:pos="1134" w:leader="none"/>
        </w:tabs>
        <w:rPr>
          <w:rFonts w:ascii="Times New Roman" w:hAnsi="Times New Roman" w:eastAsia="Calibri" w:cs="Times New Roman"/>
          <w:sz w:val="24"/>
          <w:szCs w:val="24"/>
          <w:lang w:eastAsia="ru-RU" w:bidi="hi-IN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На момент окончания срока определения заявок на участие в закупке, </w:t>
      </w:r>
      <w:r>
        <w:rPr>
          <w:rFonts w:ascii="Times New Roman" w:hAnsi="Times New Roman" w:eastAsia="Calibri" w:cs="Times New Roman"/>
          <w:sz w:val="24"/>
          <w:szCs w:val="24"/>
          <w:lang w:eastAsia="ru-RU" w:bidi="hi-IN"/>
        </w:rPr>
        <w:t xml:space="preserve">осуществляемой в соответствии с частью 12 статьи 93 Закона № 44-ФЗ</w:t>
      </w:r>
      <w:r>
        <w:rPr>
          <w:rFonts w:ascii="Times New Roman" w:hAnsi="Times New Roman" w:eastAsia="Calibri" w:cs="Times New Roman"/>
          <w:sz w:val="24"/>
          <w:szCs w:val="24"/>
        </w:rPr>
        <w:t xml:space="preserve">,</w:t>
      </w:r>
      <w:r>
        <w:rPr>
          <w:rFonts w:ascii="Times New Roman" w:hAnsi="Times New Roman" w:eastAsia="Calibri" w:cs="Times New Roman"/>
          <w:sz w:val="24"/>
          <w:szCs w:val="24"/>
          <w:lang w:eastAsia="ru-RU" w:bidi="hi-IN"/>
        </w:rPr>
        <w:t xml:space="preserve"> оператором была определена одна заявка (предварительное предложение), соответствующая требованиям, установленным в извещении об осуществлении закупки, и содержащая наименьшую цену за единицу товара, являющегося объектом закупки:</w:t>
      </w:r>
      <w:r>
        <w:rPr>
          <w:rFonts w:ascii="Times New Roman" w:hAnsi="Times New Roman" w:eastAsia="Calibri" w:cs="Times New Roman"/>
          <w:sz w:val="24"/>
          <w:szCs w:val="24"/>
          <w:lang w:eastAsia="ru-RU" w:bidi="hi-IN"/>
        </w:rPr>
      </w:r>
      <w:r>
        <w:rPr>
          <w:rFonts w:ascii="Times New Roman" w:hAnsi="Times New Roman" w:eastAsia="Calibri" w:cs="Times New Roman"/>
          <w:sz w:val="24"/>
          <w:szCs w:val="24"/>
          <w:lang w:eastAsia="ru-RU" w:bidi="hi-IN"/>
        </w:rPr>
      </w:r>
    </w:p>
    <w:tbl>
      <w:tblPr>
        <w:tblW w:w="9712" w:type="dxa"/>
        <w:jc w:val="center"/>
        <w:tblInd w:w="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28" w:type="dxa"/>
          <w:top w:w="28" w:type="dxa"/>
          <w:right w:w="28" w:type="dxa"/>
          <w:bottom w:w="28" w:type="dxa"/>
        </w:tblCellMar>
        <w:tblLook w:val="04A0" w:firstRow="1" w:lastRow="0" w:firstColumn="1" w:lastColumn="0" w:noHBand="0" w:noVBand="1"/>
      </w:tblPr>
      <w:tblGrid>
        <w:gridCol w:w="3581"/>
        <w:gridCol w:w="3401"/>
        <w:gridCol w:w="1364"/>
        <w:gridCol w:w="1366"/>
      </w:tblGrid>
      <w:tr>
        <w:tblPrEx/>
        <w:trPr>
          <w:jc w:val="center"/>
        </w:trPr>
        <w:tc>
          <w:tcPr>
            <w:shd w:val="clear" w:color="auto" w:fill="d9d9d9" w:themeFill="background1" w:themeFillShade="D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4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  <w:t xml:space="preserve">Идентификационный номер заявки, присвоенный оператором электронной площадки</w:t>
            </w:r>
            <w:r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</w:r>
          </w:p>
        </w:tc>
        <w:tc>
          <w:tcPr>
            <w:shd w:val="clear" w:color="auto" w:fill="d9d9d9" w:themeFill="background1" w:themeFillShade="D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51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  <w:t xml:space="preserve">Порядковый номер заявки, присвоенный оператором электронной площадки</w:t>
            </w:r>
            <w:r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highlight w:val="yellow"/>
              </w:rPr>
            </w:r>
          </w:p>
        </w:tc>
        <w:tc>
          <w:tcPr>
            <w:shd w:val="clear" w:color="auto" w:fill="d9d9d9" w:themeFill="background1" w:themeFillShade="D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  <w:t xml:space="preserve">Цена за единицу товара, руб.</w:t>
            </w:r>
            <w:r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highlight w:val="yellow"/>
              </w:rPr>
            </w:r>
          </w:p>
        </w:tc>
        <w:tc>
          <w:tcPr>
            <w:shd w:val="clear" w:color="auto" w:fill="d9d9d9" w:themeFill="background1" w:themeFillShade="D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  <w:t xml:space="preserve">Общая сумма, руб.</w:t>
            </w:r>
            <w:r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4" w:type="pct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51" w:type="pct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19.00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912.00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Style w:val="842"/>
        <w:numPr>
          <w:ilvl w:val="0"/>
          <w:numId w:val="3"/>
        </w:numPr>
        <w:ind w:left="0" w:firstLine="567"/>
        <w:jc w:val="both"/>
        <w:spacing w:after="0" w:line="240" w:lineRule="auto"/>
        <w:tabs>
          <w:tab w:val="left" w:pos="-562" w:leader="none"/>
          <w:tab w:val="clear" w:pos="720" w:leader="none"/>
          <w:tab w:val="num" w:pos="993" w:leader="none"/>
        </w:tabs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Заказчик рассмотрел поступившую заявку на участие в закупке, </w:t>
      </w:r>
      <w:r>
        <w:rPr>
          <w:rFonts w:ascii="Times New Roman" w:hAnsi="Times New Roman" w:eastAsia="Calibri" w:cs="Times New Roman"/>
          <w:sz w:val="24"/>
          <w:szCs w:val="24"/>
          <w:lang w:eastAsia="ru-RU" w:bidi="hi-IN"/>
        </w:rPr>
        <w:t xml:space="preserve">осуществляемой в соответствии с частью 12 статьи 93 Закона № 44-ФЗ</w:t>
      </w:r>
      <w:r>
        <w:rPr>
          <w:rFonts w:ascii="Times New Roman" w:hAnsi="Times New Roman" w:eastAsia="Calibri" w:cs="Times New Roman"/>
          <w:sz w:val="24"/>
          <w:szCs w:val="24"/>
        </w:rPr>
        <w:t xml:space="preserve">, в порядке, установленном пунктом 6 части 12 статьи 93 Закона № 44-ФЗ, на соответствие требованиям, установленным в извещении о проведении закупки, </w:t>
      </w:r>
      <w:r>
        <w:rPr>
          <w:rFonts w:ascii="Times New Roman" w:hAnsi="Times New Roman" w:eastAsia="Calibri" w:cs="Times New Roman"/>
          <w:sz w:val="24"/>
          <w:szCs w:val="24"/>
          <w:lang w:eastAsia="ru-RU" w:bidi="hi-IN"/>
        </w:rPr>
        <w:t xml:space="preserve">осуществляемой в соответствии с частью 12 статьи 93 Закона № 44-ФЗ</w:t>
      </w:r>
      <w:r>
        <w:rPr>
          <w:rFonts w:ascii="Times New Roman" w:hAnsi="Times New Roman" w:eastAsia="Calibri" w:cs="Times New Roman"/>
          <w:sz w:val="24"/>
          <w:szCs w:val="24"/>
        </w:rPr>
        <w:t xml:space="preserve">, и принял следующее решение: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tbl>
      <w:tblPr>
        <w:tblW w:w="9711" w:type="dxa"/>
        <w:jc w:val="center"/>
        <w:tblInd w:w="21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28" w:type="dxa"/>
          <w:top w:w="28" w:type="dxa"/>
          <w:right w:w="28" w:type="dxa"/>
          <w:bottom w:w="28" w:type="dxa"/>
        </w:tblCellMar>
        <w:tblLook w:val="04A0" w:firstRow="1" w:lastRow="0" w:firstColumn="1" w:lastColumn="0" w:noHBand="0" w:noVBand="1"/>
      </w:tblPr>
      <w:tblGrid>
        <w:gridCol w:w="1805"/>
        <w:gridCol w:w="1804"/>
        <w:gridCol w:w="3051"/>
        <w:gridCol w:w="3051"/>
      </w:tblGrid>
      <w:tr>
        <w:tblPrEx/>
        <w:trPr>
          <w:jc w:val="center"/>
        </w:trPr>
        <w:tc>
          <w:tcPr>
            <w:shd w:val="clear" w:color="auto" w:fill="d9d9d9" w:themeFill="background1" w:themeFillShade="D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29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  <w:t xml:space="preserve">Идентификационный номер заявки, присвоенный оператором электронной площадки</w:t>
            </w:r>
            <w:r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</w:r>
          </w:p>
        </w:tc>
        <w:tc>
          <w:tcPr>
            <w:shd w:val="clear" w:color="auto" w:fill="d9d9d9" w:themeFill="background1" w:themeFillShade="D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29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  <w:t xml:space="preserve">Порядковый номер заявки, присвоенный оператором электронной площадки</w:t>
            </w:r>
            <w:r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</w:r>
          </w:p>
        </w:tc>
        <w:tc>
          <w:tcPr>
            <w:shd w:val="clear" w:color="auto" w:fill="d9d9d9" w:themeFill="background1" w:themeFillShade="D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71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  <w:t xml:space="preserve">Решение о соответствии заявки требованиям извещения или об отклонении заявки</w:t>
            </w:r>
            <w:r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highlight w:val="yellow"/>
              </w:rPr>
            </w:r>
          </w:p>
        </w:tc>
        <w:tc>
          <w:tcPr>
            <w:shd w:val="clear" w:color="auto" w:fill="d9d9d9" w:themeFill="background1" w:themeFillShade="D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71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  <w:t xml:space="preserve">Обоснование решения об отклонении заявки (в случае принятия такого решения)</w:t>
            </w:r>
            <w:r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highlight w:val="yellow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29" w:type="pct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29" w:type="pct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spacing w:after="0" w:line="240" w:lineRule="auto"/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r>
            <w:r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71" w:type="pct"/>
            <w:vAlign w:val="center"/>
            <w:textDirection w:val="lrTb"/>
            <w:noWrap w:val="false"/>
          </w:tcPr>
          <w:p>
            <w:pPr>
              <w:contextualSpacing/>
              <w:jc w:val="left"/>
              <w:spacing w:after="0" w:line="240" w:lineRule="auto"/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Соответствует требованиям</w:t>
            </w:r>
            <w:r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r>
            <w:r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71" w:type="pct"/>
            <w:vAlign w:val="center"/>
            <w:textDirection w:val="lrTb"/>
            <w:noWrap w:val="false"/>
          </w:tcPr>
          <w:p>
            <w:pPr>
              <w:contextualSpacing/>
              <w:ind w:firstLine="709"/>
              <w:jc w:val="both"/>
              <w:spacing w:after="0" w:line="240" w:lineRule="auto"/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r>
            <w:r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r>
            <w:r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r>
          </w:p>
        </w:tc>
      </w:tr>
    </w:tbl>
    <w:p>
      <w:pPr>
        <w:pStyle w:val="842"/>
        <w:numPr>
          <w:ilvl w:val="0"/>
          <w:numId w:val="3"/>
        </w:numPr>
        <w:ind w:left="0" w:firstLine="567"/>
        <w:jc w:val="both"/>
        <w:spacing w:after="0" w:line="240" w:lineRule="auto"/>
        <w:tabs>
          <w:tab w:val="clear" w:pos="720" w:leader="none"/>
          <w:tab w:val="num" w:pos="993" w:leader="none"/>
        </w:tabs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На основании результата рассмотрения заявки на участие в закупке, </w:t>
      </w:r>
      <w:r>
        <w:rPr>
          <w:rFonts w:ascii="Times New Roman" w:hAnsi="Times New Roman" w:eastAsia="Calibri" w:cs="Times New Roman"/>
          <w:sz w:val="24"/>
          <w:szCs w:val="24"/>
          <w:lang w:eastAsia="ru-RU" w:bidi="hi-IN"/>
        </w:rPr>
        <w:t xml:space="preserve">осуществляемой в соответствии с частью 12 статьи 93 Закона № 44-ФЗ</w:t>
      </w:r>
      <w:r>
        <w:rPr>
          <w:rFonts w:ascii="Times New Roman" w:hAnsi="Times New Roman" w:eastAsia="Calibri" w:cs="Times New Roman"/>
          <w:sz w:val="24"/>
          <w:szCs w:val="24"/>
        </w:rPr>
        <w:t xml:space="preserve">, и руководствуясь подпунктом «б» пункта 6 части 12 статьи 93 Закона №44-ФЗ, заказчиком принято решение о присвоении следующего порядкового номера заявке, соответствующей требованиям, установленным в извещении о проведении закупки, </w:t>
      </w:r>
      <w:r>
        <w:rPr>
          <w:rFonts w:ascii="Times New Roman" w:hAnsi="Times New Roman" w:eastAsia="Calibri" w:cs="Times New Roman"/>
          <w:sz w:val="24"/>
          <w:szCs w:val="24"/>
          <w:lang w:eastAsia="ru-RU" w:bidi="hi-IN"/>
        </w:rPr>
        <w:t xml:space="preserve">осуществляемой в соответствии с частью 12 статьи 93 Закона № 44-ФЗ</w:t>
      </w:r>
      <w:r>
        <w:rPr>
          <w:rFonts w:ascii="Times New Roman" w:hAnsi="Times New Roman" w:eastAsia="Calibri" w:cs="Times New Roman"/>
          <w:sz w:val="24"/>
          <w:szCs w:val="24"/>
        </w:rPr>
        <w:t xml:space="preserve">: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tbl>
      <w:tblPr>
        <w:tblStyle w:val="840"/>
        <w:tblW w:w="9784" w:type="dxa"/>
        <w:jc w:val="center"/>
        <w:tblInd w:w="146" w:type="dxa"/>
        <w:tblLayout w:type="fixed"/>
        <w:tblLook w:val="04A0" w:firstRow="1" w:lastRow="0" w:firstColumn="1" w:lastColumn="0" w:noHBand="0" w:noVBand="1"/>
      </w:tblPr>
      <w:tblGrid>
        <w:gridCol w:w="2483"/>
        <w:gridCol w:w="1623"/>
        <w:gridCol w:w="2346"/>
        <w:gridCol w:w="1559"/>
        <w:gridCol w:w="1773"/>
      </w:tblGrid>
      <w:tr>
        <w:tblPrEx/>
        <w:trPr>
          <w:jc w:val="center"/>
        </w:trPr>
        <w:tc>
          <w:tcPr>
            <w:shd w:val="clear" w:color="auto" w:fill="d9d9d9" w:themeFill="background1" w:themeFillShade="D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8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Идентификационный номер заявки, присвоенный </w:t>
            </w:r>
            <w:r>
              <w:rPr>
                <w:b/>
                <w:bCs/>
                <w:sz w:val="24"/>
                <w:szCs w:val="24"/>
              </w:rPr>
              <w:t xml:space="preserve">оператором электронной площадки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shd w:val="clear" w:color="auto" w:fill="d9d9d9" w:themeFill="background1" w:themeFillShade="D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Порядковый номер заявки, </w:t>
            </w:r>
            <w:r>
              <w:rPr>
                <w:b/>
                <w:sz w:val="24"/>
                <w:szCs w:val="24"/>
              </w:rPr>
              <w:t xml:space="preserve">присвоенный заказчиком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shd w:val="clear" w:color="auto" w:fill="d9d9d9" w:themeFill="background1" w:themeFillShade="D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46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Порядковый номер заявки, присвоенный </w:t>
            </w:r>
            <w:r>
              <w:rPr>
                <w:b/>
                <w:bCs/>
                <w:sz w:val="24"/>
                <w:szCs w:val="24"/>
              </w:rPr>
              <w:t xml:space="preserve">оператором электронной площадки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shd w:val="clear" w:color="auto" w:fill="d9d9d9" w:themeFill="background1" w:themeFillShade="D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Цена за единицу товара, руб.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d9d9d9" w:themeFill="background1" w:themeFillShade="D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Общая сумма, руб.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8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46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19.00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912.00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numPr>
          <w:ilvl w:val="0"/>
          <w:numId w:val="3"/>
        </w:numPr>
        <w:contextualSpacing/>
        <w:ind w:left="0" w:firstLine="567"/>
        <w:jc w:val="both"/>
        <w:spacing w:after="0" w:line="240" w:lineRule="auto"/>
        <w:tabs>
          <w:tab w:val="clear" w:pos="720" w:leader="none"/>
          <w:tab w:val="num" w:pos="993" w:leader="none"/>
        </w:tabs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На участие в закупке, </w:t>
      </w:r>
      <w:r>
        <w:rPr>
          <w:rFonts w:ascii="Times New Roman" w:hAnsi="Times New Roman" w:eastAsia="Calibri" w:cs="Times New Roman"/>
          <w:sz w:val="24"/>
          <w:szCs w:val="24"/>
          <w:lang w:eastAsia="ru-RU" w:bidi="hi-IN"/>
        </w:rPr>
        <w:t xml:space="preserve">осуществляемой в соответствии с частью 12 статьи 93 Закона № 44-ФЗ,</w:t>
      </w:r>
      <w:r>
        <w:rPr>
          <w:rFonts w:ascii="Times New Roman" w:hAnsi="Times New Roman" w:eastAsia="Calibri" w:cs="Times New Roman"/>
          <w:sz w:val="24"/>
          <w:szCs w:val="24"/>
        </w:rPr>
        <w:t xml:space="preserve"> подана только одна заявка.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numPr>
          <w:ilvl w:val="0"/>
          <w:numId w:val="3"/>
        </w:numPr>
        <w:contextualSpacing/>
        <w:ind w:left="0" w:firstLine="567"/>
        <w:jc w:val="both"/>
        <w:spacing w:after="0" w:line="240" w:lineRule="auto"/>
        <w:tabs>
          <w:tab w:val="clear" w:pos="720" w:leader="none"/>
          <w:tab w:val="num" w:pos="993" w:leader="none"/>
        </w:tabs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На основании рассмотрения заявки на участие в закупке, </w:t>
      </w:r>
      <w:r>
        <w:rPr>
          <w:rFonts w:ascii="Times New Roman" w:hAnsi="Times New Roman" w:eastAsia="Calibri" w:cs="Times New Roman"/>
          <w:sz w:val="24"/>
          <w:szCs w:val="24"/>
          <w:lang w:eastAsia="ru-RU" w:bidi="hi-IN"/>
        </w:rPr>
        <w:t xml:space="preserve">осуществляемой в соответствии с частью 12 статьи 93 Закона № 44-ФЗ</w:t>
      </w:r>
      <w:r>
        <w:rPr>
          <w:rFonts w:ascii="Times New Roman" w:hAnsi="Times New Roman" w:eastAsia="Calibri" w:cs="Times New Roman"/>
          <w:sz w:val="24"/>
          <w:szCs w:val="24"/>
        </w:rPr>
        <w:t xml:space="preserve">, и в соответствии с частью 12 статьи 93 Закона № 44-ФЗ, контракт заключается с участником, идентификационный номер заявки которого: 1.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numPr>
          <w:ilvl w:val="0"/>
          <w:numId w:val="3"/>
        </w:numPr>
        <w:contextualSpacing/>
        <w:ind w:left="0" w:firstLine="567"/>
        <w:jc w:val="both"/>
        <w:spacing w:after="0" w:line="240" w:lineRule="auto"/>
        <w:tabs>
          <w:tab w:val="clear" w:pos="720" w:leader="none"/>
          <w:tab w:val="num" w:pos="993" w:leader="none"/>
          <w:tab w:val="num" w:pos="1276" w:leader="none"/>
        </w:tabs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Настоящий протокол подписан усиленной электронной подписью лица, имеющего право действовать от имени заказчика, и направлен оператору электронной площадки </w:t>
      </w:r>
      <w:r>
        <w:rPr>
          <w:rFonts w:ascii="Times New Roman" w:hAnsi="Times New Roman" w:eastAsia="Calibri" w:cs="Times New Roman"/>
          <w:sz w:val="24"/>
          <w:szCs w:val="24"/>
        </w:rPr>
        <w:t xml:space="preserve">«Фабрикант» </w:t>
      </w:r>
      <w:r>
        <w:rPr>
          <w:rFonts w:ascii="Times New Roman" w:hAnsi="Times New Roman" w:eastAsia="Calibri" w:cs="Times New Roman"/>
          <w:sz w:val="24"/>
          <w:szCs w:val="24"/>
        </w:rPr>
        <w:t xml:space="preserve">по адресу в сети «Интернет»: </w:t>
      </w:r>
      <w:r>
        <w:rPr>
          <w:rFonts w:ascii="Times New Roman" w:hAnsi="Times New Roman" w:eastAsia="Calibri" w:cs="Times New Roman"/>
          <w:sz w:val="24"/>
          <w:szCs w:val="24"/>
        </w:rPr>
        <w:t xml:space="preserve">https://www.fabrikant.ru</w:t>
      </w:r>
      <w:r>
        <w:rPr>
          <w:rFonts w:ascii="Times New Roman" w:hAnsi="Times New Roman" w:eastAsia="Calibri" w:cs="Times New Roman"/>
          <w:sz w:val="24"/>
          <w:szCs w:val="24"/>
        </w:rPr>
        <w:t xml:space="preserve">.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firstLine="567"/>
        <w:tabs>
          <w:tab w:val="num" w:pos="993" w:leader="none"/>
        </w:tabs>
      </w:pPr>
      <w:r/>
      <w:r/>
    </w:p>
    <w:p>
      <w:pPr>
        <w:ind w:firstLine="567"/>
        <w:tabs>
          <w:tab w:val="num" w:pos="993" w:leader="none"/>
        </w:tabs>
      </w:pPr>
      <w:r/>
      <w:r/>
    </w:p>
    <w:p>
      <w:pPr>
        <w:contextualSpacing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Заказчик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Руководитель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___________________ Масло</w:t>
      </w:r>
      <w:r>
        <w:rPr>
          <w:rFonts w:ascii="Times New Roman" w:hAnsi="Times New Roman" w:cs="Times New Roman"/>
          <w:sz w:val="24"/>
          <w:szCs w:val="24"/>
        </w:rPr>
        <w:t xml:space="preserve"> Д.В.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566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Liberation Sans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40"/>
        <w:tabs>
          <w:tab w:val="num" w:pos="720" w:leader="none"/>
        </w:tabs>
      </w:pPr>
      <w:rPr>
        <w:lang w:val="en-US"/>
      </w:rPr>
    </w:lvl>
    <w:lvl w:ilvl="1">
      <w:start w:val="1"/>
      <w:numFmt w:val="decimal"/>
      <w:isLgl w:val="false"/>
      <w:suff w:val="tab"/>
      <w:lvlText w:val="%2."/>
      <w:lvlJc w:val="left"/>
      <w:pPr>
        <w:ind w:left="1429" w:hanging="351"/>
        <w:tabs>
          <w:tab w:val="num" w:pos="1429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38" w:hanging="351"/>
        <w:tabs>
          <w:tab w:val="num" w:pos="2138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47" w:hanging="351"/>
        <w:tabs>
          <w:tab w:val="num" w:pos="2847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556" w:hanging="351"/>
        <w:tabs>
          <w:tab w:val="num" w:pos="3556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265" w:hanging="351"/>
        <w:tabs>
          <w:tab w:val="num" w:pos="4265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974" w:hanging="351"/>
        <w:tabs>
          <w:tab w:val="num" w:pos="4974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683" w:hanging="351"/>
        <w:tabs>
          <w:tab w:val="num" w:pos="5683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392" w:hanging="351"/>
        <w:tabs>
          <w:tab w:val="num" w:pos="6392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40"/>
        <w:tabs>
          <w:tab w:val="num" w:pos="720" w:leader="none"/>
        </w:tabs>
      </w:pPr>
      <w:rPr>
        <w:lang w:val="en-US"/>
      </w:rPr>
    </w:lvl>
    <w:lvl w:ilvl="1">
      <w:start w:val="1"/>
      <w:numFmt w:val="decimal"/>
      <w:isLgl w:val="false"/>
      <w:suff w:val="tab"/>
      <w:lvlText w:val="%2."/>
      <w:lvlJc w:val="left"/>
      <w:pPr>
        <w:ind w:left="1429" w:hanging="351"/>
        <w:tabs>
          <w:tab w:val="num" w:pos="1429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38" w:hanging="351"/>
        <w:tabs>
          <w:tab w:val="num" w:pos="2138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47" w:hanging="351"/>
        <w:tabs>
          <w:tab w:val="num" w:pos="2847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556" w:hanging="351"/>
        <w:tabs>
          <w:tab w:val="num" w:pos="3556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265" w:hanging="351"/>
        <w:tabs>
          <w:tab w:val="num" w:pos="4265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974" w:hanging="351"/>
        <w:tabs>
          <w:tab w:val="num" w:pos="4974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683" w:hanging="351"/>
        <w:tabs>
          <w:tab w:val="num" w:pos="5683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392" w:hanging="351"/>
        <w:tabs>
          <w:tab w:val="num" w:pos="6392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1">
    <w:name w:val="Heading 1"/>
    <w:basedOn w:val="836"/>
    <w:next w:val="836"/>
    <w:link w:val="662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62">
    <w:name w:val="Heading 1 Char"/>
    <w:basedOn w:val="837"/>
    <w:link w:val="661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63">
    <w:name w:val="Heading 2"/>
    <w:basedOn w:val="836"/>
    <w:next w:val="836"/>
    <w:link w:val="664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64">
    <w:name w:val="Heading 2 Char"/>
    <w:basedOn w:val="837"/>
    <w:link w:val="663"/>
    <w:uiPriority w:val="9"/>
    <w:rPr>
      <w:rFonts w:ascii="Liberation Sans" w:hAnsi="Liberation Sans" w:eastAsia="Liberation Sans" w:cs="Liberation Sans"/>
      <w:sz w:val="34"/>
    </w:rPr>
  </w:style>
  <w:style w:type="paragraph" w:styleId="665">
    <w:name w:val="Heading 3"/>
    <w:basedOn w:val="836"/>
    <w:next w:val="836"/>
    <w:link w:val="666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66">
    <w:name w:val="Heading 3 Char"/>
    <w:basedOn w:val="837"/>
    <w:link w:val="665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67">
    <w:name w:val="Heading 4"/>
    <w:basedOn w:val="836"/>
    <w:next w:val="836"/>
    <w:link w:val="668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68">
    <w:name w:val="Heading 4 Char"/>
    <w:basedOn w:val="837"/>
    <w:link w:val="667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69">
    <w:name w:val="Heading 5"/>
    <w:basedOn w:val="836"/>
    <w:next w:val="836"/>
    <w:link w:val="670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70">
    <w:name w:val="Heading 5 Char"/>
    <w:basedOn w:val="837"/>
    <w:link w:val="669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71">
    <w:name w:val="Heading 6"/>
    <w:basedOn w:val="836"/>
    <w:next w:val="836"/>
    <w:link w:val="672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72">
    <w:name w:val="Heading 6 Char"/>
    <w:basedOn w:val="837"/>
    <w:link w:val="671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73">
    <w:name w:val="Heading 7"/>
    <w:basedOn w:val="836"/>
    <w:next w:val="836"/>
    <w:link w:val="674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74">
    <w:name w:val="Heading 7 Char"/>
    <w:basedOn w:val="837"/>
    <w:link w:val="673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75">
    <w:name w:val="Heading 8"/>
    <w:basedOn w:val="836"/>
    <w:next w:val="836"/>
    <w:link w:val="676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76">
    <w:name w:val="Heading 8 Char"/>
    <w:basedOn w:val="837"/>
    <w:link w:val="675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77">
    <w:name w:val="Heading 9"/>
    <w:basedOn w:val="836"/>
    <w:next w:val="836"/>
    <w:link w:val="678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78">
    <w:name w:val="Heading 9 Char"/>
    <w:basedOn w:val="837"/>
    <w:link w:val="677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79">
    <w:name w:val="No Spacing"/>
    <w:uiPriority w:val="1"/>
    <w:qFormat/>
    <w:pPr>
      <w:spacing w:before="0" w:after="0" w:line="240" w:lineRule="auto"/>
    </w:pPr>
  </w:style>
  <w:style w:type="paragraph" w:styleId="680">
    <w:name w:val="Title"/>
    <w:basedOn w:val="836"/>
    <w:next w:val="836"/>
    <w:link w:val="68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1">
    <w:name w:val="Title Char"/>
    <w:basedOn w:val="837"/>
    <w:link w:val="680"/>
    <w:uiPriority w:val="10"/>
    <w:rPr>
      <w:sz w:val="48"/>
      <w:szCs w:val="48"/>
    </w:rPr>
  </w:style>
  <w:style w:type="paragraph" w:styleId="682">
    <w:name w:val="Subtitle"/>
    <w:basedOn w:val="836"/>
    <w:next w:val="836"/>
    <w:link w:val="683"/>
    <w:uiPriority w:val="11"/>
    <w:qFormat/>
    <w:pPr>
      <w:spacing w:before="200" w:after="200"/>
    </w:pPr>
    <w:rPr>
      <w:sz w:val="24"/>
      <w:szCs w:val="24"/>
    </w:rPr>
  </w:style>
  <w:style w:type="character" w:styleId="683">
    <w:name w:val="Subtitle Char"/>
    <w:basedOn w:val="837"/>
    <w:link w:val="682"/>
    <w:uiPriority w:val="11"/>
    <w:rPr>
      <w:sz w:val="24"/>
      <w:szCs w:val="24"/>
    </w:rPr>
  </w:style>
  <w:style w:type="paragraph" w:styleId="684">
    <w:name w:val="Quote"/>
    <w:basedOn w:val="836"/>
    <w:next w:val="836"/>
    <w:link w:val="685"/>
    <w:uiPriority w:val="29"/>
    <w:qFormat/>
    <w:pPr>
      <w:ind w:left="720" w:right="720"/>
    </w:pPr>
    <w:rPr>
      <w:i/>
    </w:rPr>
  </w:style>
  <w:style w:type="character" w:styleId="685">
    <w:name w:val="Quote Char"/>
    <w:link w:val="684"/>
    <w:uiPriority w:val="29"/>
    <w:rPr>
      <w:i/>
    </w:rPr>
  </w:style>
  <w:style w:type="paragraph" w:styleId="686">
    <w:name w:val="Intense Quote"/>
    <w:basedOn w:val="836"/>
    <w:next w:val="836"/>
    <w:link w:val="68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7">
    <w:name w:val="Intense Quote Char"/>
    <w:link w:val="686"/>
    <w:uiPriority w:val="30"/>
    <w:rPr>
      <w:i/>
    </w:rPr>
  </w:style>
  <w:style w:type="paragraph" w:styleId="688">
    <w:name w:val="Header"/>
    <w:basedOn w:val="836"/>
    <w:link w:val="68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9">
    <w:name w:val="Header Char"/>
    <w:basedOn w:val="837"/>
    <w:link w:val="688"/>
    <w:uiPriority w:val="99"/>
  </w:style>
  <w:style w:type="paragraph" w:styleId="690">
    <w:name w:val="Footer"/>
    <w:basedOn w:val="836"/>
    <w:link w:val="69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1">
    <w:name w:val="Footer Char"/>
    <w:basedOn w:val="837"/>
    <w:link w:val="690"/>
    <w:uiPriority w:val="99"/>
  </w:style>
  <w:style w:type="paragraph" w:styleId="692">
    <w:name w:val="Caption"/>
    <w:basedOn w:val="836"/>
    <w:next w:val="836"/>
    <w:link w:val="69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3">
    <w:name w:val="Caption Char"/>
    <w:basedOn w:val="837"/>
    <w:link w:val="692"/>
    <w:uiPriority w:val="35"/>
    <w:rPr>
      <w:b/>
      <w:bCs/>
      <w:color w:val="4f81bd" w:themeColor="accent1"/>
      <w:sz w:val="18"/>
      <w:szCs w:val="18"/>
    </w:rPr>
  </w:style>
  <w:style w:type="table" w:styleId="694">
    <w:name w:val="Table Grid Light"/>
    <w:basedOn w:val="83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5">
    <w:name w:val="Plain Table 1"/>
    <w:basedOn w:val="83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6">
    <w:name w:val="Plain Table 2"/>
    <w:basedOn w:val="83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7">
    <w:name w:val="Plain Table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8">
    <w:name w:val="Plain Table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Plain Table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0">
    <w:name w:val="Grid Table 1 Light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4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2">
    <w:name w:val="Grid Table 4 - Accent 1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3">
    <w:name w:val="Grid Table 4 - Accent 2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4">
    <w:name w:val="Grid Table 4 - Accent 3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5">
    <w:name w:val="Grid Table 4 - Accent 4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6">
    <w:name w:val="Grid Table 4 - Accent 5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7">
    <w:name w:val="Grid Table 4 - Accent 6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8">
    <w:name w:val="Grid Table 5 Dark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9">
    <w:name w:val="Grid Table 5 Dark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5">
    <w:name w:val="Grid Table 6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36">
    <w:name w:val="Grid Table 6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37">
    <w:name w:val="Grid Table 6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38">
    <w:name w:val="Grid Table 6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39">
    <w:name w:val="Grid Table 6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40">
    <w:name w:val="Grid Table 6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41">
    <w:name w:val="Grid Table 6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42">
    <w:name w:val="Grid Table 7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7">
    <w:name w:val="List Table 2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8">
    <w:name w:val="List Table 2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9">
    <w:name w:val="List Table 2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0">
    <w:name w:val="List Table 2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1">
    <w:name w:val="List Table 2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2">
    <w:name w:val="List Table 2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3">
    <w:name w:val="List Table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5 Dark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8">
    <w:name w:val="List Table 5 Dark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9">
    <w:name w:val="List Table 5 Dark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0">
    <w:name w:val="List Table 5 Dark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1">
    <w:name w:val="List Table 5 Dark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2">
    <w:name w:val="List Table 5 Dark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3">
    <w:name w:val="List Table 5 Dark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4">
    <w:name w:val="List Table 6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5">
    <w:name w:val="List Table 6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6">
    <w:name w:val="List Table 6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7">
    <w:name w:val="List Table 6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8">
    <w:name w:val="List Table 6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9">
    <w:name w:val="List Table 6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0">
    <w:name w:val="List Table 6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1">
    <w:name w:val="List Table 7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92">
    <w:name w:val="List Table 7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793">
    <w:name w:val="List Table 7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794">
    <w:name w:val="List Table 7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795">
    <w:name w:val="List Table 7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796">
    <w:name w:val="List Table 7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797">
    <w:name w:val="List Table 7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798">
    <w:name w:val="Lined - Accent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9">
    <w:name w:val="Lined - Accent 1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0">
    <w:name w:val="Lined - Accent 2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1">
    <w:name w:val="Lined - Accent 3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2">
    <w:name w:val="Lined - Accent 4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3">
    <w:name w:val="Lined - Accent 5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4">
    <w:name w:val="Lined - Accent 6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5">
    <w:name w:val="Bordered &amp; Lined - Accent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6">
    <w:name w:val="Bordered &amp; Lined - Accent 1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7">
    <w:name w:val="Bordered &amp; Lined - Accent 2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8">
    <w:name w:val="Bordered &amp; Lined - Accent 3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9">
    <w:name w:val="Bordered &amp; Lined - Accent 4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0">
    <w:name w:val="Bordered &amp; Lined - Accent 5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1">
    <w:name w:val="Bordered &amp; Lined - Accent 6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2">
    <w:name w:val="Bordered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3">
    <w:name w:val="Bordered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4">
    <w:name w:val="Bordered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5">
    <w:name w:val="Bordered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6">
    <w:name w:val="Bordered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7">
    <w:name w:val="Bordered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8">
    <w:name w:val="Bordered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9">
    <w:name w:val="footnote text"/>
    <w:basedOn w:val="836"/>
    <w:link w:val="820"/>
    <w:uiPriority w:val="99"/>
    <w:semiHidden/>
    <w:unhideWhenUsed/>
    <w:pPr>
      <w:spacing w:after="40" w:line="240" w:lineRule="auto"/>
    </w:pPr>
    <w:rPr>
      <w:sz w:val="18"/>
    </w:rPr>
  </w:style>
  <w:style w:type="character" w:styleId="820">
    <w:name w:val="Footnote Text Char"/>
    <w:link w:val="819"/>
    <w:uiPriority w:val="99"/>
    <w:rPr>
      <w:sz w:val="18"/>
    </w:rPr>
  </w:style>
  <w:style w:type="character" w:styleId="821">
    <w:name w:val="footnote reference"/>
    <w:basedOn w:val="837"/>
    <w:uiPriority w:val="99"/>
    <w:unhideWhenUsed/>
    <w:rPr>
      <w:vertAlign w:val="superscript"/>
    </w:rPr>
  </w:style>
  <w:style w:type="paragraph" w:styleId="822">
    <w:name w:val="endnote text"/>
    <w:basedOn w:val="836"/>
    <w:link w:val="823"/>
    <w:uiPriority w:val="99"/>
    <w:semiHidden/>
    <w:unhideWhenUsed/>
    <w:pPr>
      <w:spacing w:after="0" w:line="240" w:lineRule="auto"/>
    </w:pPr>
    <w:rPr>
      <w:sz w:val="20"/>
    </w:rPr>
  </w:style>
  <w:style w:type="character" w:styleId="823">
    <w:name w:val="Endnote Text Char"/>
    <w:link w:val="822"/>
    <w:uiPriority w:val="99"/>
    <w:rPr>
      <w:sz w:val="20"/>
    </w:rPr>
  </w:style>
  <w:style w:type="character" w:styleId="824">
    <w:name w:val="endnote reference"/>
    <w:basedOn w:val="837"/>
    <w:uiPriority w:val="99"/>
    <w:semiHidden/>
    <w:unhideWhenUsed/>
    <w:rPr>
      <w:vertAlign w:val="superscript"/>
    </w:rPr>
  </w:style>
  <w:style w:type="paragraph" w:styleId="825">
    <w:name w:val="toc 1"/>
    <w:basedOn w:val="836"/>
    <w:next w:val="836"/>
    <w:uiPriority w:val="39"/>
    <w:unhideWhenUsed/>
    <w:pPr>
      <w:ind w:left="0" w:right="0" w:firstLine="0"/>
      <w:spacing w:after="57"/>
    </w:pPr>
  </w:style>
  <w:style w:type="paragraph" w:styleId="826">
    <w:name w:val="toc 2"/>
    <w:basedOn w:val="836"/>
    <w:next w:val="836"/>
    <w:uiPriority w:val="39"/>
    <w:unhideWhenUsed/>
    <w:pPr>
      <w:ind w:left="283" w:right="0" w:firstLine="0"/>
      <w:spacing w:after="57"/>
    </w:pPr>
  </w:style>
  <w:style w:type="paragraph" w:styleId="827">
    <w:name w:val="toc 3"/>
    <w:basedOn w:val="836"/>
    <w:next w:val="836"/>
    <w:uiPriority w:val="39"/>
    <w:unhideWhenUsed/>
    <w:pPr>
      <w:ind w:left="567" w:right="0" w:firstLine="0"/>
      <w:spacing w:after="57"/>
    </w:pPr>
  </w:style>
  <w:style w:type="paragraph" w:styleId="828">
    <w:name w:val="toc 4"/>
    <w:basedOn w:val="836"/>
    <w:next w:val="836"/>
    <w:uiPriority w:val="39"/>
    <w:unhideWhenUsed/>
    <w:pPr>
      <w:ind w:left="850" w:right="0" w:firstLine="0"/>
      <w:spacing w:after="57"/>
    </w:pPr>
  </w:style>
  <w:style w:type="paragraph" w:styleId="829">
    <w:name w:val="toc 5"/>
    <w:basedOn w:val="836"/>
    <w:next w:val="836"/>
    <w:uiPriority w:val="39"/>
    <w:unhideWhenUsed/>
    <w:pPr>
      <w:ind w:left="1134" w:right="0" w:firstLine="0"/>
      <w:spacing w:after="57"/>
    </w:pPr>
  </w:style>
  <w:style w:type="paragraph" w:styleId="830">
    <w:name w:val="toc 6"/>
    <w:basedOn w:val="836"/>
    <w:next w:val="836"/>
    <w:uiPriority w:val="39"/>
    <w:unhideWhenUsed/>
    <w:pPr>
      <w:ind w:left="1417" w:right="0" w:firstLine="0"/>
      <w:spacing w:after="57"/>
    </w:pPr>
  </w:style>
  <w:style w:type="paragraph" w:styleId="831">
    <w:name w:val="toc 7"/>
    <w:basedOn w:val="836"/>
    <w:next w:val="836"/>
    <w:uiPriority w:val="39"/>
    <w:unhideWhenUsed/>
    <w:pPr>
      <w:ind w:left="1701" w:right="0" w:firstLine="0"/>
      <w:spacing w:after="57"/>
    </w:pPr>
  </w:style>
  <w:style w:type="paragraph" w:styleId="832">
    <w:name w:val="toc 8"/>
    <w:basedOn w:val="836"/>
    <w:next w:val="836"/>
    <w:uiPriority w:val="39"/>
    <w:unhideWhenUsed/>
    <w:pPr>
      <w:ind w:left="1984" w:right="0" w:firstLine="0"/>
      <w:spacing w:after="57"/>
    </w:pPr>
  </w:style>
  <w:style w:type="paragraph" w:styleId="833">
    <w:name w:val="toc 9"/>
    <w:basedOn w:val="836"/>
    <w:next w:val="836"/>
    <w:uiPriority w:val="39"/>
    <w:unhideWhenUsed/>
    <w:pPr>
      <w:ind w:left="2268" w:right="0" w:firstLine="0"/>
      <w:spacing w:after="57"/>
    </w:pPr>
  </w:style>
  <w:style w:type="paragraph" w:styleId="834">
    <w:name w:val="TOC Heading"/>
    <w:uiPriority w:val="39"/>
    <w:unhideWhenUsed/>
  </w:style>
  <w:style w:type="paragraph" w:styleId="835">
    <w:name w:val="table of figures"/>
    <w:basedOn w:val="836"/>
    <w:next w:val="836"/>
    <w:uiPriority w:val="99"/>
    <w:unhideWhenUsed/>
    <w:pPr>
      <w:spacing w:after="0" w:afterAutospacing="0"/>
    </w:pPr>
  </w:style>
  <w:style w:type="paragraph" w:styleId="836" w:default="1">
    <w:name w:val="Normal"/>
    <w:qFormat/>
  </w:style>
  <w:style w:type="character" w:styleId="837" w:default="1">
    <w:name w:val="Default Paragraph Font"/>
    <w:uiPriority w:val="1"/>
    <w:semiHidden/>
    <w:unhideWhenUsed/>
  </w:style>
  <w:style w:type="table" w:styleId="83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9" w:default="1">
    <w:name w:val="No List"/>
    <w:uiPriority w:val="99"/>
    <w:semiHidden/>
    <w:unhideWhenUsed/>
  </w:style>
  <w:style w:type="table" w:styleId="840">
    <w:name w:val="Table Grid"/>
    <w:basedOn w:val="838"/>
    <w:uiPriority w:val="59"/>
    <w:pPr>
      <w:spacing w:after="0" w:line="240" w:lineRule="auto"/>
    </w:pPr>
    <w:rPr>
      <w:rFonts w:ascii="Times New Roman" w:hAnsi="Times New Roman" w:eastAsia="Calibri" w:cs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41">
    <w:name w:val="Hyperlink"/>
    <w:basedOn w:val="837"/>
    <w:uiPriority w:val="99"/>
    <w:unhideWhenUsed/>
    <w:rPr>
      <w:color w:val="0000ff" w:themeColor="hyperlink"/>
      <w:u w:val="single"/>
    </w:rPr>
  </w:style>
  <w:style w:type="paragraph" w:styleId="842">
    <w:name w:val="List Paragraph"/>
    <w:basedOn w:val="836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Сироткин Сергей Григорьевич</dc:creator>
  <cp:keywords/>
  <dc:description/>
  <cp:lastModifiedBy>52.savelevaas</cp:lastModifiedBy>
  <cp:revision>5</cp:revision>
  <dcterms:created xsi:type="dcterms:W3CDTF">2025-12-10T05:29:00Z</dcterms:created>
  <dcterms:modified xsi:type="dcterms:W3CDTF">2026-08-05T10:31:06Z</dcterms:modified>
</cp:coreProperties>
</file>