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keepNext w:val="true"/>
        <w:numPr>
          <w:ilvl w:val="0"/>
          <w:numId w:val="1"/>
        </w:numPr>
        <w:pBdr/>
        <w:spacing w:after="0" w:line="360" w:lineRule="auto"/>
        <w:ind w:right="-28"/>
        <w:jc w:val="center"/>
        <w:rPr>
          <w:rFonts w:eastAsia="Times New Roman" w:asciiTheme="minorHAnsi" w:hAnsiTheme="minorHAnsi"/>
          <w:b/>
          <w:spacing w:val="20"/>
          <w:sz w:val="24"/>
          <w:szCs w:val="20"/>
          <w:lang w:eastAsia="ru-RU"/>
        </w:rPr>
      </w:pPr>
      <w:r>
        <w:rPr>
          <w:rFonts w:eastAsia="Times New Roman" w:asciiTheme="minorHAnsi" w:hAnsiTheme="minorHAnsi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 w:asciiTheme="minorHAnsi" w:hAnsiTheme="minorHAnsi"/>
          <w:b/>
          <w:spacing w:val="20"/>
          <w:sz w:val="24"/>
          <w:szCs w:val="20"/>
          <w:lang w:eastAsia="ru-RU"/>
        </w:rPr>
      </w:r>
    </w:p>
    <w:p>
      <w:pPr>
        <w:pBdr/>
        <w:spacing w:after="0" w:line="240" w:lineRule="auto"/>
        <w:ind w:right="-1"/>
        <w:jc w:val="center"/>
        <w:rPr>
          <w:rFonts w:eastAsia="Times New Roman" w:asciiTheme="minorHAnsi" w:hAnsiTheme="minorHAnsi"/>
          <w:sz w:val="28"/>
          <w:szCs w:val="28"/>
          <w:lang w:eastAsia="ru-RU"/>
        </w:rPr>
      </w:pPr>
      <w:r>
        <w:rPr>
          <w:rFonts w:eastAsia="Times New Roman" w:asciiTheme="minorHAnsi" w:hAnsiTheme="minorHAnsi"/>
          <w:sz w:val="28"/>
          <w:szCs w:val="28"/>
          <w:lang w:eastAsia="ru-RU"/>
        </w:rPr>
        <w:t xml:space="preserve">рассмотрения и оценки </w:t>
      </w:r>
      <w:r>
        <w:rPr>
          <w:rFonts w:eastAsia="Times New Roman" w:asciiTheme="minorHAnsi" w:hAnsiTheme="minorHAnsi"/>
          <w:sz w:val="28"/>
          <w:szCs w:val="28"/>
          <w:lang w:eastAsia="ru-RU"/>
        </w:rPr>
        <w:t xml:space="preserve">втор</w:t>
      </w:r>
      <w:r>
        <w:rPr>
          <w:rFonts w:eastAsia="Times New Roman" w:asciiTheme="minorHAnsi" w:hAnsiTheme="minorHAnsi"/>
          <w:sz w:val="28"/>
          <w:szCs w:val="28"/>
          <w:lang w:eastAsia="ru-RU"/>
        </w:rPr>
        <w:t xml:space="preserve">ых частей заявок на участие </w:t>
      </w:r>
      <w:r>
        <w:rPr>
          <w:rFonts w:eastAsia="Times New Roman" w:asciiTheme="minorHAnsi" w:hAnsiTheme="minorHAnsi"/>
          <w:sz w:val="28"/>
          <w:szCs w:val="28"/>
          <w:lang w:eastAsia="ru-RU"/>
        </w:rPr>
      </w:r>
    </w:p>
    <w:p>
      <w:pPr>
        <w:pBdr/>
        <w:spacing w:after="0" w:line="240" w:lineRule="auto"/>
        <w:ind w:right="-1"/>
        <w:jc w:val="center"/>
        <w:rPr>
          <w:rFonts w:eastAsia="Times New Roman" w:asciiTheme="minorHAnsi" w:hAnsiTheme="minorHAnsi"/>
          <w:sz w:val="28"/>
          <w:szCs w:val="28"/>
          <w:lang w:eastAsia="ru-RU"/>
        </w:rPr>
      </w:pPr>
      <w:r>
        <w:rPr>
          <w:rFonts w:eastAsia="Times New Roman" w:asciiTheme="minorHAnsi" w:hAnsiTheme="minorHAnsi"/>
          <w:sz w:val="28"/>
          <w:szCs w:val="28"/>
          <w:lang w:eastAsia="ru-RU"/>
        </w:rPr>
        <w:t xml:space="preserve">в </w:t>
      </w:r>
      <w:r>
        <w:rPr>
          <w:rFonts w:eastAsia="Times New Roman" w:asciiTheme="minorHAnsi" w:hAnsiTheme="minorHAnsi"/>
          <w:sz w:val="28"/>
          <w:szCs w:val="28"/>
          <w:lang w:eastAsia="ru-RU"/>
        </w:rPr>
        <w:t xml:space="preserve">электронном конкурсе, проводимом в соответствии с частью 19 статьи 48 Федерального закона №44-ФЗ</w:t>
      </w:r>
      <w:r>
        <w:rPr>
          <w:rFonts w:eastAsia="Times New Roman" w:asciiTheme="minorHAnsi" w:hAnsiTheme="minorHAnsi"/>
          <w:sz w:val="28"/>
          <w:szCs w:val="28"/>
          <w:lang w:eastAsia="ru-RU"/>
        </w:rPr>
      </w:r>
    </w:p>
    <w:p>
      <w:pPr>
        <w:pBdr/>
        <w:spacing w:after="0" w:line="240" w:lineRule="auto"/>
        <w:ind w:right="-1"/>
        <w:jc w:val="center"/>
        <w:rPr>
          <w:rFonts w:eastAsia="Times New Roman" w:asciiTheme="minorHAnsi" w:hAnsiTheme="minorHAnsi"/>
          <w:sz w:val="24"/>
          <w:szCs w:val="24"/>
          <w:lang w:eastAsia="ru-RU"/>
        </w:rPr>
      </w:pPr>
      <w:r>
        <w:rPr>
          <w:rFonts w:eastAsia="Times New Roman" w:asciiTheme="minorHAnsi" w:hAnsiTheme="minorHAnsi"/>
          <w:sz w:val="24"/>
          <w:szCs w:val="24"/>
          <w:lang w:eastAsia="ru-RU"/>
        </w:rPr>
        <w:t xml:space="preserve">(0801500001126000727)</w:t>
      </w:r>
      <w:r>
        <w:rPr>
          <w:rFonts w:eastAsia="Times New Roman" w:asciiTheme="minorHAnsi" w:hAnsiTheme="minorHAnsi"/>
          <w:sz w:val="24"/>
          <w:szCs w:val="24"/>
          <w:lang w:eastAsia="ru-RU"/>
        </w:rPr>
      </w:r>
    </w:p>
    <w:p>
      <w:pPr>
        <w:pBdr/>
        <w:spacing w:after="0" w:line="240" w:lineRule="auto"/>
        <w:ind w:right="5243" w:left="3828"/>
        <w:rPr>
          <w:rFonts w:eastAsia="Times New Roman" w:asciiTheme="minorHAnsi" w:hAnsiTheme="minorHAnsi" w:cstheme="minorHAnsi"/>
          <w:sz w:val="24"/>
          <w:szCs w:val="20"/>
          <w:lang w:eastAsia="ru-RU"/>
        </w:rPr>
      </w:pPr>
      <w:r>
        <w:rPr>
          <w:rFonts w:eastAsia="Times New Roman" w:asciiTheme="minorHAnsi" w:hAnsiTheme="minorHAnsi" w:cstheme="minorHAnsi"/>
          <w:sz w:val="24"/>
          <w:szCs w:val="20"/>
          <w:lang w:eastAsia="ru-RU"/>
        </w:rPr>
      </w:r>
      <w:r>
        <w:rPr>
          <w:rFonts w:eastAsia="Times New Roman" w:asciiTheme="minorHAnsi" w:hAnsiTheme="minorHAnsi" w:cstheme="minorHAnsi"/>
          <w:sz w:val="24"/>
          <w:szCs w:val="20"/>
          <w:lang w:eastAsia="ru-RU"/>
        </w:rPr>
      </w:r>
    </w:p>
    <w:tbl>
      <w:tblPr>
        <w:tblW w:w="10206" w:type="dxa"/>
        <w:tblInd w:w="-5" w:type="dxa"/>
        <w:tblBorders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Borders/>
            <w:tcW w:w="2557" w:type="dxa"/>
            <w:vAlign w:val="bottom"/>
            <w:textDirection w:val="lrTb"/>
            <w:noWrap w:val="false"/>
          </w:tcPr>
          <w:p>
            <w:pPr>
              <w:pStyle w:val="674"/>
              <w:pBdr/>
              <w:tabs>
                <w:tab w:val="left" w:leader="none" w:pos="567"/>
              </w:tabs>
              <w:spacing w:after="0" w:line="240" w:lineRule="auto"/>
              <w:ind w:left="0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lang w:eastAsia="ru-RU"/>
              </w:rPr>
              <w:t xml:space="preserve">14.05.2026</w:t>
            </w:r>
            <w:r>
              <w:rPr>
                <w:rFonts w:asciiTheme="minorHAnsi" w:hAnsiTheme="minorHAnsi" w:cstheme="minorHAnsi"/>
                <w:bCs/>
              </w:rPr>
            </w:r>
          </w:p>
        </w:tc>
        <w:tc>
          <w:tcPr>
            <w:tcBorders/>
            <w:tcW w:w="4247" w:type="dxa"/>
            <w:vAlign w:val="bottom"/>
            <w:textDirection w:val="lrTb"/>
            <w:noWrap w:val="false"/>
          </w:tcPr>
          <w:p>
            <w:pPr>
              <w:pStyle w:val="674"/>
              <w:pBdr/>
              <w:tabs>
                <w:tab w:val="left" w:leader="none" w:pos="567"/>
              </w:tabs>
              <w:spacing w:after="60" w:before="60" w:line="240" w:lineRule="auto"/>
              <w:ind w:left="0"/>
              <w:jc w:val="right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</w:r>
            <w:r>
              <w:rPr>
                <w:rFonts w:asciiTheme="minorHAnsi" w:hAnsiTheme="minorHAnsi" w:cstheme="minorHAnsi"/>
                <w:bCs/>
              </w:rPr>
            </w:r>
          </w:p>
        </w:tc>
        <w:tc>
          <w:tcPr>
            <w:tcBorders/>
            <w:tcW w:w="3402" w:type="dxa"/>
            <w:textDirection w:val="lrTb"/>
            <w:noWrap w:val="false"/>
          </w:tcPr>
          <w:p>
            <w:pPr>
              <w:pStyle w:val="674"/>
              <w:pBdr/>
              <w:tabs>
                <w:tab w:val="left" w:leader="none" w:pos="567"/>
              </w:tabs>
              <w:spacing w:after="60" w:before="60" w:line="240" w:lineRule="auto"/>
              <w:ind w:left="0"/>
              <w:rPr>
                <w:rFonts w:asciiTheme="minorHAnsi" w:hAnsiTheme="minorHAnsi" w:cstheme="minorHAnsi"/>
                <w:lang w:eastAsia="ru-RU"/>
              </w:rPr>
            </w:pPr>
            <w:r>
              <w:rPr>
                <w:rFonts w:asciiTheme="minorHAnsi" w:hAnsiTheme="minorHAnsi" w:cstheme="minorHAnsi"/>
                <w:bCs/>
              </w:rPr>
              <w:t xml:space="preserve">№ </w:t>
            </w:r>
            <w:r>
              <w:rPr>
                <w:rFonts w:asciiTheme="minorHAnsi" w:hAnsiTheme="minorHAnsi" w:cstheme="minorHAnsi"/>
                <w:lang w:eastAsia="ru-RU"/>
              </w:rPr>
              <w:t xml:space="preserve">0801500001126000727-3-1</w:t>
            </w:r>
            <w:r>
              <w:rPr>
                <w:rFonts w:asciiTheme="minorHAnsi" w:hAnsiTheme="minorHAnsi" w:cstheme="minorHAnsi"/>
                <w:lang w:eastAsia="ru-RU"/>
              </w:rPr>
            </w:r>
          </w:p>
        </w:tc>
      </w:tr>
      <w:tr>
        <w:trPr/>
        <w:tc>
          <w:tcPr>
            <w:gridSpan w:val="3"/>
            <w:tcBorders/>
            <w:tcW w:w="10206" w:type="dxa"/>
            <w:vAlign w:val="bottom"/>
            <w:textDirection w:val="lrTb"/>
            <w:noWrap w:val="false"/>
          </w:tcPr>
          <w:p>
            <w:pPr>
              <w:pStyle w:val="674"/>
              <w:pBdr/>
              <w:tabs>
                <w:tab w:val="left" w:leader="none" w:pos="567"/>
              </w:tabs>
              <w:spacing w:after="60" w:before="60" w:line="240" w:lineRule="auto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/>
                <w:lang w:eastAsia="ru-RU"/>
              </w:rPr>
              <w:t xml:space="preserve">Башкортостан Респ, Уфа г</w:t>
            </w:r>
            <w:r>
              <w:rPr>
                <w:rFonts w:asciiTheme="minorHAnsi" w:hAnsiTheme="minorHAnsi" w:cstheme="minorHAnsi"/>
                <w:bCs/>
              </w:rPr>
            </w:r>
          </w:p>
        </w:tc>
      </w:tr>
    </w:tbl>
    <w:p>
      <w:pPr>
        <w:pStyle w:val="674"/>
        <w:pBdr/>
        <w:tabs>
          <w:tab w:val="left" w:leader="none" w:pos="567"/>
        </w:tabs>
        <w:spacing w:after="60" w:before="60" w:line="240" w:lineRule="auto"/>
        <w:ind w:left="0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Cs/>
        </w:rPr>
      </w:r>
      <w:r>
        <w:rPr>
          <w:rFonts w:asciiTheme="minorHAnsi" w:hAnsiTheme="minorHAnsi" w:cstheme="minorHAnsi"/>
          <w:bCs/>
        </w:rPr>
      </w:r>
    </w:p>
    <w:p>
      <w:pPr>
        <w:pStyle w:val="676"/>
        <w:widowControl w:val="false"/>
        <w:numPr>
          <w:ilvl w:val="0"/>
          <w:numId w:val="24"/>
        </w:numPr>
        <w:pBdr/>
        <w:spacing w:after="0" w:before="60" w:line="240" w:lineRule="auto"/>
        <w:ind/>
        <w:rPr>
          <w:rFonts w:eastAsia="Times New Roman" w:asciiTheme="minorHAnsi" w:hAnsiTheme="minorHAnsi" w:cstheme="minorHAnsi"/>
        </w:rPr>
      </w:pPr>
      <w:r>
        <w:rPr>
          <w:rFonts w:eastAsia="Times New Roman" w:asciiTheme="minorHAnsi" w:hAnsiTheme="minorHAnsi" w:cstheme="minorHAnsi"/>
        </w:rPr>
        <w:t xml:space="preserve">Организатор: </w:t>
      </w:r>
      <w:r>
        <w:rPr>
          <w:rFonts w:eastAsia="Times New Roman" w:asciiTheme="minorHAnsi" w:hAnsiTheme="minorHAnsi" w:cstheme="minorHAnsi"/>
        </w:rPr>
      </w:r>
    </w:p>
    <w:p>
      <w:pPr>
        <w:widowControl w:val="false"/>
        <w:pBdr/>
        <w:spacing w:after="0" w:before="60" w:line="240" w:lineRule="auto"/>
        <w:ind/>
        <w:rPr>
          <w:rFonts w:eastAsia="Times New Roman" w:asciiTheme="minorHAnsi" w:hAnsiTheme="minorHAnsi" w:cstheme="minorHAnsi"/>
        </w:rPr>
      </w:pPr>
      <w:r>
        <w:rPr>
          <w:rFonts w:eastAsia="Times New Roman" w:asciiTheme="minorHAnsi" w:hAnsiTheme="minorHAnsi" w:cstheme="minorHAnsi"/>
        </w:rPr>
        <w:t xml:space="preserve">Уполномоченное учреждение</w:t>
      </w:r>
      <w:r>
        <w:rPr>
          <w:rFonts w:eastAsia="Times New Roman" w:asciiTheme="minorHAnsi" w:hAnsiTheme="minorHAnsi" w:cstheme="minorHAnsi"/>
        </w:rPr>
        <w:t xml:space="preserve">.</w:t>
      </w:r>
      <w:r>
        <w:rPr>
          <w:rFonts w:eastAsia="Times New Roman" w:asciiTheme="minorHAnsi" w:hAnsiTheme="minorHAnsi" w:cstheme="minorHAnsi"/>
        </w:rPr>
        <w:t xml:space="preserve"> ГОСУДАРСТВЕННОЕ КАЗЕННОЕ УЧРЕЖДЕНИЕ РЕСПУБЛИКИ БАШКОРТОСТАН "РЕСПУБЛИКАНСКИЙ ЦЕНТР ТОРГОВ".</w:t>
      </w:r>
      <w:r>
        <w:rPr>
          <w:rFonts w:eastAsia="Times New Roman" w:asciiTheme="minorHAnsi" w:hAnsiTheme="minorHAnsi" w:cstheme="minorHAnsi"/>
        </w:rPr>
      </w:r>
    </w:p>
    <w:p>
      <w:pPr>
        <w:pStyle w:val="676"/>
        <w:widowControl w:val="false"/>
        <w:numPr>
          <w:ilvl w:val="0"/>
          <w:numId w:val="24"/>
        </w:numPr>
        <w:pBdr/>
        <w:spacing w:after="0" w:before="60" w:line="240" w:lineRule="auto"/>
        <w:ind/>
        <w:rPr>
          <w:rFonts w:eastAsia="Times New Roman" w:asciiTheme="minorHAnsi" w:hAnsiTheme="minorHAnsi" w:cstheme="minorHAnsi"/>
        </w:rPr>
      </w:pPr>
      <w:r>
        <w:rPr>
          <w:rFonts w:eastAsia="Times New Roman" w:asciiTheme="minorHAnsi" w:hAnsiTheme="minorHAnsi" w:cstheme="minorHAnsi"/>
        </w:rPr>
        <w:t xml:space="preserve">Заказчик(и): </w:t>
      </w:r>
      <w:r>
        <w:rPr>
          <w:rFonts w:eastAsia="Times New Roman" w:asciiTheme="minorHAnsi" w:hAnsiTheme="minorHAnsi" w:cstheme="minorHAnsi"/>
        </w:rPr>
      </w:r>
    </w:p>
    <w:tbl>
      <w:tblPr>
        <w:tblStyle w:val="675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Borders/>
            <w:tcW w:w="10093" w:type="dxa"/>
            <w:vAlign w:val="center"/>
            <w:textDirection w:val="lrTb"/>
            <w:noWrap w:val="false"/>
          </w:tcPr>
          <w:p>
            <w:pPr>
              <w:widowControl w:val="false"/>
              <w:pBdr/>
              <w:spacing w:before="60"/>
              <w:ind/>
              <w:rPr>
                <w:rFonts w:eastAsia="Times New Roman" w:asciiTheme="minorHAnsi" w:hAnsiTheme="minorHAnsi" w:cstheme="minorHAnsi"/>
                <w:sz w:val="22"/>
                <w:szCs w:val="22"/>
              </w:rPr>
            </w:pPr>
            <w:r>
              <w:rPr>
                <w:rFonts w:eastAsia="Times New Roman" w:asciiTheme="minorHAnsi" w:hAnsiTheme="minorHAnsi" w:cstheme="minorHAnsi"/>
                <w:sz w:val="22"/>
                <w:szCs w:val="22"/>
              </w:rPr>
              <w:t xml:space="preserve">ГОСУДАРСТВЕННОЕ КАЗЕННОЕ УЧРЕЖДЕНИЕ УПРАВЛЕНИЕ ДОРОЖНОГО ХОЗЯЙСТВА РЕСПУБЛИКИ БАШКОРТОСТАН</w:t>
            </w:r>
            <w:r>
              <w:rPr>
                <w:rFonts w:eastAsia="Times New Roman" w:asciiTheme="minorHAnsi" w:hAnsiTheme="minorHAnsi" w:cstheme="minorHAnsi"/>
                <w:sz w:val="22"/>
                <w:szCs w:val="22"/>
              </w:rPr>
            </w:r>
          </w:p>
        </w:tc>
      </w:tr>
    </w:tbl>
    <w:p>
      <w:pPr>
        <w:pStyle w:val="676"/>
        <w:widowControl w:val="false"/>
        <w:numPr>
          <w:ilvl w:val="0"/>
          <w:numId w:val="24"/>
        </w:numPr>
        <w:pBdr/>
        <w:spacing w:after="0" w:before="60" w:line="240" w:lineRule="auto"/>
        <w:ind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Идентификационный код закупки: 262027416293402740100100430014321244.</w:t>
      </w:r>
      <w:r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</w:r>
    </w:p>
    <w:p>
      <w:pPr>
        <w:pStyle w:val="676"/>
        <w:widowControl w:val="false"/>
        <w:numPr>
          <w:ilvl w:val="0"/>
          <w:numId w:val="24"/>
        </w:numPr>
        <w:pBdr/>
        <w:spacing w:after="0" w:before="60" w:line="240" w:lineRule="auto"/>
        <w:ind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Извещение об осуществлении закупки размещено 21.04.2026 14:47 (MSK+02:00) на сайте Единой информационной системы в сфере закупок (ЕИС) по адресу в сети «Интернет»: http://zakupki.gov.ru и на сайте </w:t>
      </w:r>
      <w:r>
        <w:rPr>
          <w:rFonts w:asciiTheme="minorHAnsi" w:hAnsiTheme="minorHAnsi" w:cstheme="minorHAnsi"/>
        </w:rPr>
        <w:t xml:space="preserve">электронной торговой площадки «Фабрикант»</w:t>
      </w:r>
      <w:r>
        <w:rPr>
          <w:rFonts w:asciiTheme="minorHAnsi" w:hAnsiTheme="minorHAnsi" w:cstheme="minorHAnsi"/>
        </w:rPr>
        <w:t xml:space="preserve"> по адресу в сети «Интернет»: http://www.etp-ets.ru.</w:t>
      </w:r>
      <w:r>
        <w:rPr>
          <w:rFonts w:asciiTheme="minorHAnsi" w:hAnsiTheme="minorHAnsi" w:cstheme="minorHAnsi"/>
        </w:rPr>
      </w:r>
    </w:p>
    <w:p>
      <w:pPr>
        <w:pStyle w:val="676"/>
        <w:widowControl w:val="false"/>
        <w:numPr>
          <w:ilvl w:val="0"/>
          <w:numId w:val="24"/>
        </w:numPr>
        <w:pBdr/>
        <w:spacing w:after="0" w:before="60" w:line="240" w:lineRule="auto"/>
        <w:ind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Наименование объекта закупки: Установка элементов освещения на пешеходных переходах, автобусных остановках, на пересечениях и примыканиях к автомобильной дороге Кропачево - Месягутово - Ачит на км 141+260 - км 141+821 в Мечетлинском районе Республики Башкортостан..</w:t>
      </w:r>
      <w:r>
        <w:rPr>
          <w:rFonts w:asciiTheme="minorHAnsi" w:hAnsiTheme="minorHAnsi" w:cstheme="minorHAnsi"/>
        </w:rPr>
      </w:r>
    </w:p>
    <w:p>
      <w:pPr>
        <w:pStyle w:val="676"/>
        <w:widowControl w:val="false"/>
        <w:numPr>
          <w:ilvl w:val="0"/>
          <w:numId w:val="24"/>
        </w:numPr>
        <w:pBdr/>
        <w:spacing w:after="0" w:before="60" w:line="240" w:lineRule="auto"/>
        <w:ind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Начальная (максимальная) цена контракта, руб.: 4 786 920.22</w:t>
      </w:r>
      <w:r>
        <w:rPr>
          <w:rFonts w:asciiTheme="minorHAnsi" w:hAnsiTheme="minorHAnsi" w:cstheme="minorHAnsi"/>
        </w:rPr>
      </w:r>
    </w:p>
    <w:p>
      <w:pPr>
        <w:widowControl w:val="false"/>
        <w:pBdr/>
        <w:spacing w:after="0" w:before="60" w:line="240" w:lineRule="auto"/>
        <w:ind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/>
      </w:r>
      <w:r>
        <w:rPr>
          <w:rFonts w:asciiTheme="minorHAnsi" w:hAnsiTheme="minorHAnsi" w:cstheme="minorHAnsi"/>
        </w:rPr>
      </w:r>
    </w:p>
    <w:tbl>
      <w:tblPr>
        <w:tblStyle w:val="675"/>
        <w:tblW w:w="10353" w:type="dxa"/>
        <w:tblInd w:w="-147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353"/>
      </w:tblGrid>
      <w:tr>
        <w:trPr/>
        <w:tc>
          <w:tcPr>
            <w:tcBorders/>
            <w:tcW w:w="10353" w:type="dxa"/>
            <w:textDirection w:val="lrTb"/>
            <w:noWrap w:val="false"/>
          </w:tcPr>
          <w:p>
            <w:pPr>
              <w:pStyle w:val="676"/>
              <w:keepNext w:val="true"/>
              <w:widowControl w:val="false"/>
              <w:numPr>
                <w:ilvl w:val="0"/>
                <w:numId w:val="24"/>
              </w:numPr>
              <w:pBdr/>
              <w:spacing w:before="60"/>
              <w:ind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Дата и время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рассмотрения и оценки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втор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ых частей заявок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на участие в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электронном конкурсе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: </w:t>
            </w:r>
            <w:r>
              <w:rPr>
                <w:rFonts w:asciiTheme="minorHAnsi" w:hAnsiTheme="minorHAnsi" w:cstheme="minorHAnsi"/>
                <w:iCs/>
                <w:sz w:val="22"/>
                <w:szCs w:val="22"/>
              </w:rPr>
              <w:t xml:space="preserve">14.05.2026 13:59:37 (MSK+02:00).</w:t>
            </w:r>
            <w:r>
              <w:rPr>
                <w:rFonts w:asciiTheme="minorHAnsi" w:hAnsiTheme="minorHAnsi" w:cstheme="minorHAnsi"/>
                <w:sz w:val="22"/>
                <w:szCs w:val="22"/>
              </w:rPr>
            </w:r>
          </w:p>
        </w:tc>
      </w:tr>
    </w:tbl>
    <w:p>
      <w:pPr>
        <w:pStyle w:val="676"/>
        <w:keepNext w:val="true"/>
        <w:widowControl w:val="false"/>
        <w:numPr>
          <w:ilvl w:val="0"/>
          <w:numId w:val="24"/>
        </w:numPr>
        <w:pBdr/>
        <w:spacing w:after="0" w:before="60" w:line="240" w:lineRule="auto"/>
        <w:ind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Наименование комиссии: Комиссия  по осуществлению закупок Государственного казенного учреждения Республики Башкортостан «Республиканский центр торгов» при проведении открытых конкурсов в электронной форме на выполнение строительно-монтажных работ по объектам строительства, реконструкции, капитального ремонта и ремонта автомобильных дорог общего пользования регионального и межмуниципального значения и сооружений на них для нужд Государственного казенного учреждения Управление дорожного хозяйства Республики Башкортостан.. </w:t>
      </w:r>
      <w:r>
        <w:rPr>
          <w:rFonts w:asciiTheme="minorHAnsi" w:hAnsiTheme="minorHAnsi" w:cstheme="minorHAnsi"/>
        </w:rPr>
      </w:r>
    </w:p>
    <w:p>
      <w:pPr>
        <w:pStyle w:val="676"/>
        <w:keepNext w:val="true"/>
        <w:widowControl w:val="false"/>
        <w:numPr>
          <w:ilvl w:val="0"/>
          <w:numId w:val="24"/>
        </w:numPr>
        <w:pBdr/>
        <w:spacing w:after="0" w:before="60" w:line="240" w:lineRule="auto"/>
        <w:ind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Состав комиссии по осуществлению закупок:</w:t>
      </w:r>
      <w:r>
        <w:rPr>
          <w:rFonts w:asciiTheme="minorHAnsi" w:hAnsiTheme="minorHAnsi" w:cstheme="minorHAnsi"/>
        </w:rPr>
      </w:r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widowControl w:val="false"/>
              <w:pBdr/>
              <w:spacing w:after="0" w:before="60" w:line="240" w:lineRule="auto"/>
              <w:ind/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 xml:space="preserve">Роль</w:t>
            </w:r>
            <w:r>
              <w:rPr>
                <w:rFonts w:asciiTheme="minorHAnsi" w:hAnsiTheme="minorHAnsi" w:cstheme="minorHAnsi"/>
                <w:b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widowControl w:val="false"/>
              <w:pBdr/>
              <w:spacing w:after="0" w:before="60" w:line="240" w:lineRule="auto"/>
              <w:ind/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 xml:space="preserve">Должность</w:t>
            </w:r>
            <w:r>
              <w:rPr>
                <w:rFonts w:asciiTheme="minorHAnsi" w:hAnsiTheme="minorHAnsi" w:cstheme="minorHAnsi"/>
                <w:b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widowControl w:val="false"/>
              <w:pBdr/>
              <w:spacing w:after="0" w:before="60" w:line="240" w:lineRule="auto"/>
              <w:ind/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 xml:space="preserve">Фамилия, имя, отчество</w:t>
            </w:r>
            <w:r>
              <w:rPr>
                <w:rFonts w:asciiTheme="minorHAnsi" w:hAnsiTheme="minorHAnsi" w:cstheme="minorHAnsi"/>
                <w:b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widowControl w:val="false"/>
              <w:pBdr/>
              <w:spacing w:after="0" w:before="60" w:line="240" w:lineRule="auto"/>
              <w:ind/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 xml:space="preserve">Статус</w:t>
            </w:r>
            <w:r>
              <w:rPr>
                <w:rFonts w:asciiTheme="minorHAnsi" w:hAnsiTheme="minorHAnsi" w:cstheme="minorHAnsi"/>
                <w:b/>
              </w:rPr>
            </w:r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lef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Зам. председателя комиссии</w:t>
            </w:r>
            <w:r>
              <w:rPr>
                <w:rFonts w:asciiTheme="minorHAnsi" w:hAnsiTheme="minorHAnsi" w:cstheme="minorHAnsi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lef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/>
            </w:r>
            <w:r>
              <w:rPr>
                <w:rFonts w:asciiTheme="minorHAnsi" w:hAnsiTheme="minorHAnsi" w:cstheme="minorHAnsi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lef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Лутфрахманов Ренат Юлаевич</w:t>
            </w:r>
            <w:r>
              <w:rPr>
                <w:rFonts w:asciiTheme="minorHAnsi" w:hAnsiTheme="minorHAnsi" w:cstheme="minorHAnsi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Присутствует</w:t>
            </w:r>
            <w:r>
              <w:rPr>
                <w:rFonts w:asciiTheme="minorHAnsi" w:hAnsiTheme="minorHAnsi" w:cstheme="minorHAnsi"/>
              </w:rPr>
            </w:r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lef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Член комиссии</w:t>
            </w:r>
            <w:r>
              <w:rPr>
                <w:rFonts w:asciiTheme="minorHAnsi" w:hAnsiTheme="minorHAnsi" w:cstheme="minorHAnsi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lef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/>
            </w:r>
            <w:r>
              <w:rPr>
                <w:rFonts w:asciiTheme="minorHAnsi" w:hAnsiTheme="minorHAnsi" w:cstheme="minorHAnsi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lef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Назмутдинов Талгат Ришатович</w:t>
            </w:r>
            <w:r>
              <w:rPr>
                <w:rFonts w:asciiTheme="minorHAnsi" w:hAnsiTheme="minorHAnsi" w:cstheme="minorHAnsi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Присутствует</w:t>
            </w:r>
            <w:r>
              <w:rPr>
                <w:rFonts w:asciiTheme="minorHAnsi" w:hAnsiTheme="minorHAnsi" w:cstheme="minorHAnsi"/>
              </w:rPr>
            </w:r>
          </w:p>
        </w:tc>
      </w:tr>
    </w:tbl>
    <w:p>
      <w:pPr>
        <w:widowControl w:val="false"/>
        <w:pBdr/>
        <w:spacing w:after="0" w:before="60" w:line="240" w:lineRule="auto"/>
        <w:ind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Количество членов комиссии, присутствующих на заседании:</w:t>
      </w:r>
      <w:r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 xml:space="preserve">2.</w:t>
      </w:r>
      <w:r>
        <w:rPr>
          <w:rFonts w:asciiTheme="minorHAnsi" w:hAnsiTheme="minorHAnsi" w:cstheme="minorHAnsi"/>
        </w:rPr>
        <w:t xml:space="preserve"> </w:t>
      </w:r>
      <w:r>
        <w:rPr>
          <w:rFonts w:eastAsia="Times New Roman" w:asciiTheme="minorHAnsi" w:hAnsiTheme="minorHAnsi"/>
          <w:lang w:eastAsia="ru-RU"/>
        </w:rPr>
        <w:t xml:space="preserve">Кворум имеется. Комиссия правомочна.</w:t>
      </w:r>
      <w:r>
        <w:rPr>
          <w:rFonts w:asciiTheme="minorHAnsi" w:hAnsiTheme="minorHAnsi" w:cstheme="minorHAnsi"/>
        </w:rPr>
      </w:r>
    </w:p>
    <w:p>
      <w:pPr>
        <w:pStyle w:val="676"/>
        <w:widowControl w:val="false"/>
        <w:numPr>
          <w:ilvl w:val="0"/>
          <w:numId w:val="24"/>
        </w:numPr>
        <w:pBdr/>
        <w:spacing w:after="0" w:before="60" w:line="240" w:lineRule="auto"/>
        <w:ind/>
        <w:rPr>
          <w:rFonts w:asciiTheme="minorHAnsi" w:hAnsiTheme="minorHAnsi" w:cstheme="minorHAnsi"/>
          <w:iCs/>
          <w:szCs w:val="21"/>
        </w:rPr>
      </w:pPr>
      <w:r>
        <w:rPr>
          <w:rFonts w:asciiTheme="minorHAnsi" w:hAnsiTheme="minorHAnsi" w:cstheme="minorHAnsi"/>
        </w:rPr>
        <w:t xml:space="preserve">Количество </w:t>
      </w:r>
      <w:r>
        <w:rPr>
          <w:rFonts w:asciiTheme="minorHAnsi" w:hAnsiTheme="minorHAnsi" w:cstheme="minorHAnsi"/>
        </w:rPr>
        <w:t xml:space="preserve">рассматриваемых</w:t>
      </w:r>
      <w:r>
        <w:rPr>
          <w:rFonts w:asciiTheme="minorHAnsi" w:hAnsiTheme="minorHAnsi" w:cstheme="minorHAnsi"/>
        </w:rPr>
        <w:t xml:space="preserve"> заявок</w:t>
      </w:r>
      <w:r>
        <w:rPr>
          <w:rFonts w:asciiTheme="minorHAnsi" w:hAnsiTheme="minorHAnsi" w:cstheme="minorHAnsi"/>
        </w:rPr>
        <w:t xml:space="preserve">:</w:t>
      </w:r>
      <w:r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  <w:iCs/>
          <w:szCs w:val="21"/>
        </w:rPr>
        <w:t xml:space="preserve">7</w:t>
      </w:r>
      <w:r>
        <w:rPr>
          <w:rFonts w:asciiTheme="minorHAnsi" w:hAnsiTheme="minorHAnsi" w:cstheme="minorHAnsi"/>
          <w:iCs/>
          <w:szCs w:val="21"/>
        </w:rPr>
        <w:t xml:space="preserve">.</w:t>
      </w:r>
      <w:r>
        <w:rPr>
          <w:rFonts w:asciiTheme="minorHAnsi" w:hAnsiTheme="minorHAnsi" w:cstheme="minorHAnsi"/>
          <w:iCs/>
          <w:szCs w:val="21"/>
        </w:rPr>
      </w:r>
    </w:p>
    <w:p>
      <w:pPr>
        <w:pStyle w:val="676"/>
        <w:widowControl w:val="false"/>
        <w:numPr>
          <w:ilvl w:val="0"/>
          <w:numId w:val="24"/>
        </w:numPr>
        <w:pBdr/>
        <w:spacing w:after="0" w:before="60" w:line="240" w:lineRule="auto"/>
        <w:ind/>
        <w:rPr>
          <w:rFonts w:asciiTheme="minorHAnsi" w:hAnsiTheme="minorHAnsi" w:cstheme="minorHAnsi"/>
          <w:iCs/>
          <w:szCs w:val="21"/>
        </w:rPr>
      </w:pPr>
      <w:r>
        <w:rPr>
          <w:rFonts w:asciiTheme="minorHAnsi" w:hAnsiTheme="minorHAnsi" w:cstheme="minorHAnsi"/>
          <w:iCs/>
          <w:szCs w:val="21"/>
        </w:rPr>
        <w:t xml:space="preserve">Информация о </w:t>
      </w:r>
      <w:r>
        <w:rPr>
          <w:rFonts w:asciiTheme="minorHAnsi" w:hAnsiTheme="minorHAnsi" w:cstheme="minorHAnsi"/>
          <w:iCs/>
          <w:szCs w:val="21"/>
        </w:rPr>
        <w:t xml:space="preserve">принятом решении о признании второй части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>
        <w:rPr>
          <w:rFonts w:asciiTheme="minorHAnsi" w:hAnsiTheme="minorHAnsi" w:cstheme="minorHAnsi"/>
          <w:iCs/>
          <w:szCs w:val="21"/>
        </w:rPr>
      </w:r>
    </w:p>
    <w:tbl>
      <w:tblPr>
        <w:tblStyle w:val="675"/>
        <w:tblW w:w="10206" w:type="dxa"/>
        <w:tblInd w:w="-5" w:type="dxa"/>
        <w:tblBorders/>
        <w:tblLayout w:type="fixed"/>
        <w:tblLook w:val="04A0" w:firstRow="1" w:lastRow="0" w:firstColumn="1" w:lastColumn="0" w:noHBand="0" w:noVBand="1"/>
      </w:tblPr>
      <w:tblGrid>
        <w:gridCol w:w="1450"/>
        <w:gridCol w:w="1527"/>
        <w:gridCol w:w="1701"/>
        <w:gridCol w:w="5528"/>
      </w:tblGrid>
      <w:tr>
        <w:trPr>
          <w:trHeight w:val="843"/>
        </w:trPr>
        <w:tc>
          <w:tcPr>
            <w:tcBorders/>
            <w:tcW w:w="1450" w:type="dxa"/>
            <w:vAlign w:val="center"/>
            <w:textDirection w:val="lrTb"/>
            <w:noWrap w:val="false"/>
          </w:tcPr>
          <w:p>
            <w:pPr>
              <w:keepNext w:val="true"/>
              <w:widowControl w:val="false"/>
              <w:pBdr/>
              <w:spacing w:before="60"/>
              <w:ind w:left="-108"/>
              <w:jc w:val="center"/>
              <w:rPr>
                <w:rFonts w:eastAsia="Times New Roman" w:asciiTheme="minorHAnsi" w:hAnsiTheme="minorHAnsi"/>
                <w:b/>
                <w:bCs/>
                <w:sz w:val="22"/>
                <w:szCs w:val="22"/>
              </w:rPr>
            </w:pPr>
            <w:r>
              <w:rPr>
                <w:rFonts w:eastAsia="Times New Roman" w:asciiTheme="minorHAnsi" w:hAnsiTheme="minorHAnsi"/>
                <w:b/>
                <w:bCs/>
                <w:sz w:val="22"/>
                <w:szCs w:val="22"/>
              </w:rPr>
              <w:t xml:space="preserve">Порядковый номер заявки</w:t>
            </w:r>
            <w:r>
              <w:rPr>
                <w:rFonts w:eastAsia="Times New Roman" w:asciiTheme="minorHAnsi" w:hAnsiTheme="minorHAnsi"/>
                <w:b/>
                <w:bCs/>
                <w:sz w:val="22"/>
                <w:szCs w:val="22"/>
              </w:rPr>
              <w:t xml:space="preserve">, присвоенный оператором</w:t>
            </w:r>
            <w:r>
              <w:rPr>
                <w:rFonts w:eastAsia="Times New Roman" w:asciiTheme="minorHAnsi" w:hAnsiTheme="minorHAnsi"/>
                <w:b/>
                <w:bCs/>
                <w:sz w:val="22"/>
                <w:szCs w:val="22"/>
              </w:rPr>
            </w:r>
          </w:p>
        </w:tc>
        <w:tc>
          <w:tcPr>
            <w:tcBorders/>
            <w:tcW w:w="1527" w:type="dxa"/>
            <w:vAlign w:val="center"/>
            <w:textDirection w:val="lrTb"/>
            <w:noWrap w:val="false"/>
          </w:tcPr>
          <w:p>
            <w:pPr>
              <w:keepNext w:val="true"/>
              <w:widowControl w:val="false"/>
              <w:pBdr/>
              <w:spacing w:before="60"/>
              <w:ind/>
              <w:jc w:val="center"/>
              <w:rPr>
                <w:rFonts w:eastAsia="Times New Roman" w:asciiTheme="minorHAnsi" w:hAnsiTheme="minorHAnsi"/>
                <w:b/>
                <w:bCs/>
                <w:sz w:val="22"/>
                <w:szCs w:val="22"/>
              </w:rPr>
            </w:pPr>
            <w:r>
              <w:rPr>
                <w:rFonts w:eastAsia="Times New Roman" w:asciiTheme="minorHAnsi" w:hAnsiTheme="minorHAnsi"/>
                <w:b/>
                <w:bCs/>
                <w:sz w:val="22"/>
                <w:szCs w:val="22"/>
              </w:rPr>
              <w:t xml:space="preserve">Идентификационный номер заявки</w:t>
            </w:r>
            <w:r>
              <w:rPr>
                <w:rFonts w:eastAsia="Times New Roman" w:asciiTheme="minorHAnsi" w:hAnsiTheme="minorHAnsi"/>
                <w:b/>
                <w:bCs/>
                <w:sz w:val="22"/>
                <w:szCs w:val="22"/>
              </w:rPr>
              <w:t xml:space="preserve">, присвоенный оператором</w:t>
            </w:r>
            <w:r>
              <w:rPr>
                <w:rFonts w:eastAsia="Times New Roman" w:asciiTheme="minorHAnsi" w:hAnsiTheme="minorHAnsi"/>
                <w:b/>
                <w:bCs/>
                <w:sz w:val="22"/>
                <w:szCs w:val="22"/>
              </w:rPr>
              <w:t xml:space="preserve">,</w:t>
            </w:r>
            <w:r>
              <w:rPr>
                <w:rFonts w:eastAsia="Times New Roman" w:asciiTheme="minorHAnsi" w:hAnsiTheme="minorHAnsi"/>
                <w:b/>
                <w:bCs/>
                <w:sz w:val="22"/>
                <w:szCs w:val="22"/>
              </w:rPr>
            </w:r>
          </w:p>
          <w:p>
            <w:pPr>
              <w:keepNext w:val="true"/>
              <w:widowControl w:val="false"/>
              <w:pBdr/>
              <w:spacing w:before="60"/>
              <w:ind/>
              <w:jc w:val="center"/>
              <w:rPr>
                <w:rFonts w:eastAsia="Times New Roman" w:asciiTheme="minorHAnsi" w:hAnsiTheme="minorHAnsi"/>
                <w:b/>
                <w:bCs/>
                <w:sz w:val="22"/>
                <w:szCs w:val="22"/>
              </w:rPr>
            </w:pPr>
            <w:r>
              <w:rPr>
                <w:rFonts w:eastAsia="Times New Roman" w:asciiTheme="minorHAnsi" w:hAnsiTheme="minorHAnsi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 w:asciiTheme="minorHAnsi" w:hAnsiTheme="minorHAnsi"/>
                <w:b/>
                <w:bCs/>
                <w:sz w:val="22"/>
                <w:szCs w:val="22"/>
              </w:rPr>
            </w:r>
          </w:p>
        </w:tc>
        <w:tc>
          <w:tcPr>
            <w:tcBorders/>
            <w:tcW w:w="1701" w:type="dxa"/>
            <w:vAlign w:val="center"/>
            <w:textDirection w:val="lrTb"/>
            <w:noWrap w:val="false"/>
          </w:tcPr>
          <w:p>
            <w:pPr>
              <w:keepNext w:val="true"/>
              <w:widowControl w:val="false"/>
              <w:pBdr/>
              <w:spacing w:before="60"/>
              <w:ind/>
              <w:jc w:val="center"/>
              <w:rPr>
                <w:rFonts w:eastAsia="Times New Roman" w:asciiTheme="minorHAnsi" w:hAnsiTheme="minorHAnsi"/>
                <w:b/>
                <w:bCs/>
                <w:sz w:val="22"/>
                <w:szCs w:val="22"/>
              </w:rPr>
            </w:pPr>
            <w:r>
              <w:rPr>
                <w:rFonts w:eastAsia="Times New Roman" w:asciiTheme="minorHAnsi" w:hAnsiTheme="minorHAnsi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 w:asciiTheme="minorHAnsi" w:hAnsiTheme="minorHAnsi"/>
                <w:b/>
                <w:bCs/>
                <w:sz w:val="22"/>
                <w:szCs w:val="22"/>
              </w:rPr>
            </w:r>
          </w:p>
        </w:tc>
        <w:tc>
          <w:tcPr>
            <w:tcBorders/>
            <w:tcW w:w="5528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rFonts w:eastAsia="Times New Roman" w:asciiTheme="minorHAnsi" w:hAnsiTheme="minorHAnsi"/>
                <w:b/>
                <w:sz w:val="22"/>
                <w:szCs w:val="22"/>
              </w:rPr>
            </w:pPr>
            <w:r>
              <w:rPr>
                <w:rFonts w:eastAsia="Times New Roman" w:asciiTheme="minorHAnsi" w:hAnsiTheme="minorHAnsi"/>
                <w:b/>
                <w:sz w:val="22"/>
                <w:szCs w:val="22"/>
              </w:rPr>
            </w:r>
            <w:r>
              <w:rPr>
                <w:rFonts w:eastAsia="Times New Roman" w:asciiTheme="minorHAnsi" w:hAnsiTheme="minorHAnsi"/>
                <w:b/>
                <w:sz w:val="22"/>
                <w:szCs w:val="22"/>
              </w:rPr>
            </w:r>
          </w:p>
          <w:p>
            <w:pPr>
              <w:pBdr/>
              <w:spacing/>
              <w:ind/>
              <w:jc w:val="center"/>
              <w:rPr>
                <w:rFonts w:eastAsia="Times New Roman" w:asciiTheme="minorHAnsi" w:hAnsiTheme="minorHAnsi"/>
                <w:b/>
                <w:bCs/>
                <w:sz w:val="22"/>
                <w:szCs w:val="22"/>
              </w:rPr>
            </w:pPr>
            <w:r>
              <w:rPr>
                <w:rFonts w:eastAsia="Times New Roman" w:asciiTheme="minorHAnsi" w:hAnsiTheme="minorHAnsi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 w:asciiTheme="minorHAnsi" w:hAnsiTheme="minorHAnsi"/>
                <w:b/>
                <w:bCs/>
                <w:sz w:val="22"/>
                <w:szCs w:val="22"/>
              </w:rPr>
            </w:r>
          </w:p>
        </w:tc>
      </w:tr>
      <w:tr>
        <w:trPr>
          <w:trHeight w:val="504"/>
        </w:trPr>
        <w:tc>
          <w:tcPr>
            <w:tcBorders/>
            <w:tcW w:w="1450" w:type="dxa"/>
            <w:vAlign w:val="center"/>
            <w:textDirection w:val="lrTb"/>
            <w:noWrap w:val="false"/>
          </w:tcPr>
          <w:p>
            <w:pPr>
              <w:keepNext w:val="true"/>
              <w:widowControl w:val="false"/>
              <w:pBdr/>
              <w:spacing w:before="60"/>
              <w:ind/>
              <w:jc w:val="center"/>
              <w:rPr>
                <w:rFonts w:eastAsia="Times New Roman" w:asciiTheme="minorHAnsi" w:hAnsiTheme="minorHAnsi"/>
                <w:sz w:val="22"/>
                <w:szCs w:val="22"/>
              </w:rPr>
            </w:pPr>
            <w:r>
              <w:rPr>
                <w:rFonts w:eastAsia="Times New Roman" w:asciiTheme="minorHAnsi" w:hAnsiTheme="minorHAnsi"/>
                <w:sz w:val="22"/>
                <w:szCs w:val="22"/>
              </w:rPr>
              <w:t xml:space="preserve">2</w:t>
            </w:r>
            <w:r>
              <w:rPr>
                <w:rFonts w:eastAsia="Times New Roman" w:asciiTheme="minorHAnsi" w:hAnsiTheme="minorHAnsi"/>
                <w:sz w:val="22"/>
                <w:szCs w:val="22"/>
              </w:rPr>
            </w:r>
          </w:p>
        </w:tc>
        <w:tc>
          <w:tcPr>
            <w:tcBorders/>
            <w:tcW w:w="1527" w:type="dxa"/>
            <w:vAlign w:val="center"/>
            <w:textDirection w:val="lrTb"/>
            <w:noWrap w:val="false"/>
          </w:tcPr>
          <w:p>
            <w:pPr>
              <w:keepNext w:val="true"/>
              <w:widowControl w:val="false"/>
              <w:pBdr/>
              <w:spacing w:before="60"/>
              <w:ind/>
              <w:jc w:val="center"/>
              <w:rPr>
                <w:rFonts w:eastAsia="Times New Roman" w:asciiTheme="minorHAnsi" w:hAnsiTheme="minorHAnsi"/>
                <w:sz w:val="22"/>
                <w:szCs w:val="22"/>
              </w:rPr>
            </w:pPr>
            <w:r>
              <w:rPr>
                <w:rFonts w:eastAsia="Times New Roman" w:asciiTheme="minorHAnsi" w:hAnsiTheme="minorHAnsi"/>
                <w:sz w:val="22"/>
                <w:szCs w:val="22"/>
              </w:rPr>
              <w:t xml:space="preserve">2</w:t>
            </w:r>
            <w:r>
              <w:rPr>
                <w:rFonts w:eastAsia="Times New Roman" w:asciiTheme="minorHAnsi" w:hAnsiTheme="minorHAnsi"/>
                <w:sz w:val="22"/>
                <w:szCs w:val="22"/>
              </w:rPr>
              <w:t xml:space="preserve">,</w:t>
            </w:r>
            <w:r>
              <w:rPr>
                <w:rFonts w:eastAsia="Times New Roman" w:asciiTheme="minorHAnsi" w:hAnsiTheme="minorHAnsi"/>
                <w:sz w:val="22"/>
                <w:szCs w:val="22"/>
              </w:rPr>
            </w:r>
          </w:p>
          <w:p>
            <w:pPr>
              <w:keepNext w:val="true"/>
              <w:widowControl w:val="false"/>
              <w:pBdr/>
              <w:spacing w:before="60"/>
              <w:ind/>
              <w:jc w:val="center"/>
              <w:rPr>
                <w:rFonts w:eastAsia="Times New Roman" w:asciiTheme="minorHAnsi" w:hAnsiTheme="minorHAnsi"/>
                <w:sz w:val="22"/>
                <w:szCs w:val="22"/>
              </w:rPr>
            </w:pPr>
            <w:r>
              <w:rPr>
                <w:rFonts w:eastAsia="Times New Roman" w:asciiTheme="minorHAnsi" w:hAnsiTheme="minorHAnsi"/>
                <w:sz w:val="22"/>
                <w:szCs w:val="22"/>
              </w:rPr>
              <w:t xml:space="preserve">30.04.2026 14:00:13 (MSK+00:00)</w:t>
            </w:r>
            <w:r>
              <w:rPr>
                <w:rFonts w:eastAsia="Times New Roman" w:asciiTheme="minorHAnsi" w:hAnsiTheme="minorHAnsi"/>
                <w:sz w:val="22"/>
                <w:szCs w:val="22"/>
              </w:rPr>
            </w:r>
          </w:p>
        </w:tc>
        <w:tc>
          <w:tcPr>
            <w:tcBorders/>
            <w:tcW w:w="1701" w:type="dxa"/>
            <w:vAlign w:val="center"/>
            <w:textDirection w:val="lrTb"/>
            <w:noWrap w:val="false"/>
          </w:tcPr>
          <w:p>
            <w:pPr>
              <w:keepNext w:val="true"/>
              <w:widowControl w:val="false"/>
              <w:pBdr/>
              <w:spacing w:before="60"/>
              <w:ind/>
              <w:jc w:val="left"/>
              <w:rPr>
                <w:rFonts w:eastAsia="Times New Roman" w:asciiTheme="minorHAnsi" w:hAnsiTheme="minorHAnsi"/>
                <w:sz w:val="22"/>
                <w:szCs w:val="22"/>
              </w:rPr>
            </w:pPr>
            <w:r>
              <w:rPr>
                <w:rFonts w:eastAsia="Times New Roman" w:asciiTheme="minorHAnsi" w:hAnsiTheme="minorHAnsi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 w:asciiTheme="minorHAnsi" w:hAnsiTheme="minorHAnsi"/>
                <w:sz w:val="22"/>
                <w:szCs w:val="22"/>
              </w:rPr>
            </w:r>
          </w:p>
        </w:tc>
        <w:tc>
          <w:tcPr>
            <w:tcBorders/>
            <w:tcW w:w="5528" w:type="dxa"/>
            <w:vAlign w:val="center"/>
            <w:textDirection w:val="lrTb"/>
            <w:noWrap w:val="false"/>
          </w:tcPr>
          <w:p>
            <w:pPr>
              <w:keepNext w:val="true"/>
              <w:widowControl w:val="false"/>
              <w:pBdr/>
              <w:spacing w:before="60"/>
              <w:ind/>
              <w:jc w:val="left"/>
              <w:rPr>
                <w:rFonts w:eastAsia="Times New Roman" w:asciiTheme="minorHAnsi" w:hAnsiTheme="minorHAnsi"/>
                <w:sz w:val="22"/>
                <w:szCs w:val="22"/>
              </w:rPr>
            </w:pPr>
            <w:r>
              <w:rPr>
                <w:rFonts w:eastAsia="Times New Roman" w:asciiTheme="minorHAnsi" w:hAnsiTheme="minorHAnsi"/>
                <w:sz w:val="22"/>
                <w:szCs w:val="22"/>
              </w:rPr>
              <w:t xml:space="preserve"/>
            </w:r>
            <w:r>
              <w:rPr>
                <w:rFonts w:eastAsia="Times New Roman" w:asciiTheme="minorHAnsi" w:hAnsiTheme="minorHAnsi"/>
                <w:sz w:val="22"/>
                <w:szCs w:val="22"/>
              </w:rPr>
            </w:r>
          </w:p>
        </w:tc>
      </w:tr>
      <w:tr>
        <w:trPr>
          <w:trHeight w:val="504"/>
        </w:trPr>
        <w:tc>
          <w:tcPr>
            <w:tcBorders/>
            <w:tcW w:w="1450" w:type="dxa"/>
            <w:vAlign w:val="center"/>
            <w:textDirection w:val="lrTb"/>
            <w:noWrap w:val="false"/>
          </w:tcPr>
          <w:p>
            <w:pPr>
              <w:keepNext w:val="true"/>
              <w:widowControl w:val="false"/>
              <w:pBdr/>
              <w:spacing w:before="60"/>
              <w:ind/>
              <w:jc w:val="center"/>
              <w:rPr>
                <w:rFonts w:eastAsia="Times New Roman" w:asciiTheme="minorHAnsi" w:hAnsiTheme="minorHAnsi"/>
                <w:sz w:val="22"/>
                <w:szCs w:val="22"/>
              </w:rPr>
            </w:pPr>
            <w:r>
              <w:rPr>
                <w:rFonts w:eastAsia="Times New Roman" w:asciiTheme="minorHAnsi" w:hAnsiTheme="minorHAnsi"/>
                <w:sz w:val="22"/>
                <w:szCs w:val="22"/>
              </w:rPr>
              <w:t xml:space="preserve">3</w:t>
            </w:r>
            <w:r>
              <w:rPr>
                <w:rFonts w:eastAsia="Times New Roman" w:asciiTheme="minorHAnsi" w:hAnsiTheme="minorHAnsi"/>
                <w:sz w:val="22"/>
                <w:szCs w:val="22"/>
              </w:rPr>
            </w:r>
          </w:p>
        </w:tc>
        <w:tc>
          <w:tcPr>
            <w:tcBorders/>
            <w:tcW w:w="1527" w:type="dxa"/>
            <w:vAlign w:val="center"/>
            <w:textDirection w:val="lrTb"/>
            <w:noWrap w:val="false"/>
          </w:tcPr>
          <w:p>
            <w:pPr>
              <w:keepNext w:val="true"/>
              <w:widowControl w:val="false"/>
              <w:pBdr/>
              <w:spacing w:before="60"/>
              <w:ind/>
              <w:jc w:val="center"/>
              <w:rPr>
                <w:rFonts w:eastAsia="Times New Roman" w:asciiTheme="minorHAnsi" w:hAnsiTheme="minorHAnsi"/>
                <w:sz w:val="22"/>
                <w:szCs w:val="22"/>
              </w:rPr>
            </w:pPr>
            <w:r>
              <w:rPr>
                <w:rFonts w:eastAsia="Times New Roman" w:asciiTheme="minorHAnsi" w:hAnsiTheme="minorHAnsi"/>
                <w:sz w:val="22"/>
                <w:szCs w:val="22"/>
              </w:rPr>
              <w:t xml:space="preserve">3</w:t>
            </w:r>
            <w:r>
              <w:rPr>
                <w:rFonts w:eastAsia="Times New Roman" w:asciiTheme="minorHAnsi" w:hAnsiTheme="minorHAnsi"/>
                <w:sz w:val="22"/>
                <w:szCs w:val="22"/>
              </w:rPr>
              <w:t xml:space="preserve">,</w:t>
            </w:r>
            <w:r>
              <w:rPr>
                <w:rFonts w:eastAsia="Times New Roman" w:asciiTheme="minorHAnsi" w:hAnsiTheme="minorHAnsi"/>
                <w:sz w:val="22"/>
                <w:szCs w:val="22"/>
              </w:rPr>
            </w:r>
          </w:p>
          <w:p>
            <w:pPr>
              <w:keepNext w:val="true"/>
              <w:widowControl w:val="false"/>
              <w:pBdr/>
              <w:spacing w:before="60"/>
              <w:ind/>
              <w:jc w:val="center"/>
              <w:rPr>
                <w:rFonts w:eastAsia="Times New Roman" w:asciiTheme="minorHAnsi" w:hAnsiTheme="minorHAnsi"/>
                <w:sz w:val="22"/>
                <w:szCs w:val="22"/>
              </w:rPr>
            </w:pPr>
            <w:r>
              <w:rPr>
                <w:rFonts w:eastAsia="Times New Roman" w:asciiTheme="minorHAnsi" w:hAnsiTheme="minorHAnsi"/>
                <w:sz w:val="22"/>
                <w:szCs w:val="22"/>
              </w:rPr>
              <w:t xml:space="preserve">12.05.2026 08:25:17 (MSK+00:00)</w:t>
            </w:r>
            <w:r>
              <w:rPr>
                <w:rFonts w:eastAsia="Times New Roman" w:asciiTheme="minorHAnsi" w:hAnsiTheme="minorHAnsi"/>
                <w:sz w:val="22"/>
                <w:szCs w:val="22"/>
              </w:rPr>
            </w:r>
          </w:p>
        </w:tc>
        <w:tc>
          <w:tcPr>
            <w:tcBorders/>
            <w:tcW w:w="1701" w:type="dxa"/>
            <w:vAlign w:val="center"/>
            <w:textDirection w:val="lrTb"/>
            <w:noWrap w:val="false"/>
          </w:tcPr>
          <w:p>
            <w:pPr>
              <w:keepNext w:val="true"/>
              <w:widowControl w:val="false"/>
              <w:pBdr/>
              <w:spacing w:before="60"/>
              <w:ind/>
              <w:jc w:val="left"/>
              <w:rPr>
                <w:rFonts w:eastAsia="Times New Roman" w:asciiTheme="minorHAnsi" w:hAnsiTheme="minorHAnsi"/>
                <w:sz w:val="22"/>
                <w:szCs w:val="22"/>
              </w:rPr>
            </w:pPr>
            <w:r>
              <w:rPr>
                <w:rFonts w:eastAsia="Times New Roman" w:asciiTheme="minorHAnsi" w:hAnsiTheme="minorHAnsi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 w:asciiTheme="minorHAnsi" w:hAnsiTheme="minorHAnsi"/>
                <w:sz w:val="22"/>
                <w:szCs w:val="22"/>
              </w:rPr>
            </w:r>
          </w:p>
        </w:tc>
        <w:tc>
          <w:tcPr>
            <w:tcBorders/>
            <w:tcW w:w="5528" w:type="dxa"/>
            <w:vAlign w:val="center"/>
            <w:textDirection w:val="lrTb"/>
            <w:noWrap w:val="false"/>
          </w:tcPr>
          <w:p>
            <w:pPr>
              <w:keepNext w:val="true"/>
              <w:widowControl w:val="false"/>
              <w:pBdr/>
              <w:spacing w:before="60"/>
              <w:ind/>
              <w:jc w:val="left"/>
              <w:rPr>
                <w:rFonts w:eastAsia="Times New Roman" w:asciiTheme="minorHAnsi" w:hAnsiTheme="minorHAnsi"/>
                <w:sz w:val="22"/>
                <w:szCs w:val="22"/>
              </w:rPr>
            </w:pPr>
            <w:r>
              <w:rPr>
                <w:rFonts w:eastAsia="Times New Roman" w:asciiTheme="minorHAnsi" w:hAnsiTheme="minorHAnsi"/>
                <w:sz w:val="22"/>
                <w:szCs w:val="22"/>
              </w:rPr>
              <w:t xml:space="preserve"/>
            </w:r>
            <w:r>
              <w:rPr>
                <w:rFonts w:eastAsia="Times New Roman" w:asciiTheme="minorHAnsi" w:hAnsiTheme="minorHAnsi"/>
                <w:sz w:val="22"/>
                <w:szCs w:val="22"/>
              </w:rPr>
            </w:r>
          </w:p>
        </w:tc>
      </w:tr>
      <w:tr>
        <w:trPr>
          <w:trHeight w:val="504"/>
        </w:trPr>
        <w:tc>
          <w:tcPr>
            <w:tcBorders/>
            <w:tcW w:w="1450" w:type="dxa"/>
            <w:vAlign w:val="center"/>
            <w:textDirection w:val="lrTb"/>
            <w:noWrap w:val="false"/>
          </w:tcPr>
          <w:p>
            <w:pPr>
              <w:keepNext w:val="true"/>
              <w:widowControl w:val="false"/>
              <w:pBdr/>
              <w:spacing w:before="60"/>
              <w:ind/>
              <w:jc w:val="center"/>
              <w:rPr>
                <w:rFonts w:eastAsia="Times New Roman" w:asciiTheme="minorHAnsi" w:hAnsiTheme="minorHAnsi"/>
                <w:sz w:val="22"/>
                <w:szCs w:val="22"/>
              </w:rPr>
            </w:pPr>
            <w:r>
              <w:rPr>
                <w:rFonts w:eastAsia="Times New Roman" w:asciiTheme="minorHAnsi" w:hAnsiTheme="minorHAnsi"/>
                <w:sz w:val="22"/>
                <w:szCs w:val="22"/>
              </w:rPr>
              <w:t xml:space="preserve">4</w:t>
            </w:r>
            <w:r>
              <w:rPr>
                <w:rFonts w:eastAsia="Times New Roman" w:asciiTheme="minorHAnsi" w:hAnsiTheme="minorHAnsi"/>
                <w:sz w:val="22"/>
                <w:szCs w:val="22"/>
              </w:rPr>
            </w:r>
          </w:p>
        </w:tc>
        <w:tc>
          <w:tcPr>
            <w:tcBorders/>
            <w:tcW w:w="1527" w:type="dxa"/>
            <w:vAlign w:val="center"/>
            <w:textDirection w:val="lrTb"/>
            <w:noWrap w:val="false"/>
          </w:tcPr>
          <w:p>
            <w:pPr>
              <w:keepNext w:val="true"/>
              <w:widowControl w:val="false"/>
              <w:pBdr/>
              <w:spacing w:before="60"/>
              <w:ind/>
              <w:jc w:val="center"/>
              <w:rPr>
                <w:rFonts w:eastAsia="Times New Roman" w:asciiTheme="minorHAnsi" w:hAnsiTheme="minorHAnsi"/>
                <w:sz w:val="22"/>
                <w:szCs w:val="22"/>
              </w:rPr>
            </w:pPr>
            <w:r>
              <w:rPr>
                <w:rFonts w:eastAsia="Times New Roman" w:asciiTheme="minorHAnsi" w:hAnsiTheme="minorHAnsi"/>
                <w:sz w:val="22"/>
                <w:szCs w:val="22"/>
              </w:rPr>
              <w:t xml:space="preserve">4</w:t>
            </w:r>
            <w:r>
              <w:rPr>
                <w:rFonts w:eastAsia="Times New Roman" w:asciiTheme="minorHAnsi" w:hAnsiTheme="minorHAnsi"/>
                <w:sz w:val="22"/>
                <w:szCs w:val="22"/>
              </w:rPr>
              <w:t xml:space="preserve">,</w:t>
            </w:r>
            <w:r>
              <w:rPr>
                <w:rFonts w:eastAsia="Times New Roman" w:asciiTheme="minorHAnsi" w:hAnsiTheme="minorHAnsi"/>
                <w:sz w:val="22"/>
                <w:szCs w:val="22"/>
              </w:rPr>
            </w:r>
          </w:p>
          <w:p>
            <w:pPr>
              <w:keepNext w:val="true"/>
              <w:widowControl w:val="false"/>
              <w:pBdr/>
              <w:spacing w:before="60"/>
              <w:ind/>
              <w:jc w:val="center"/>
              <w:rPr>
                <w:rFonts w:eastAsia="Times New Roman" w:asciiTheme="minorHAnsi" w:hAnsiTheme="minorHAnsi"/>
                <w:sz w:val="22"/>
                <w:szCs w:val="22"/>
              </w:rPr>
            </w:pPr>
            <w:r>
              <w:rPr>
                <w:rFonts w:eastAsia="Times New Roman" w:asciiTheme="minorHAnsi" w:hAnsiTheme="minorHAnsi"/>
                <w:sz w:val="22"/>
                <w:szCs w:val="22"/>
              </w:rPr>
              <w:t xml:space="preserve">12.05.2026 15:03:37 (MSK+00:00)</w:t>
            </w:r>
            <w:r>
              <w:rPr>
                <w:rFonts w:eastAsia="Times New Roman" w:asciiTheme="minorHAnsi" w:hAnsiTheme="minorHAnsi"/>
                <w:sz w:val="22"/>
                <w:szCs w:val="22"/>
              </w:rPr>
            </w:r>
          </w:p>
        </w:tc>
        <w:tc>
          <w:tcPr>
            <w:tcBorders/>
            <w:tcW w:w="1701" w:type="dxa"/>
            <w:vAlign w:val="center"/>
            <w:textDirection w:val="lrTb"/>
            <w:noWrap w:val="false"/>
          </w:tcPr>
          <w:p>
            <w:pPr>
              <w:keepNext w:val="true"/>
              <w:widowControl w:val="false"/>
              <w:pBdr/>
              <w:spacing w:before="60"/>
              <w:ind/>
              <w:jc w:val="left"/>
              <w:rPr>
                <w:rFonts w:eastAsia="Times New Roman" w:asciiTheme="minorHAnsi" w:hAnsiTheme="minorHAnsi"/>
                <w:sz w:val="22"/>
                <w:szCs w:val="22"/>
              </w:rPr>
            </w:pPr>
            <w:r>
              <w:rPr>
                <w:rFonts w:eastAsia="Times New Roman" w:asciiTheme="minorHAnsi" w:hAnsiTheme="minorHAnsi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 w:asciiTheme="minorHAnsi" w:hAnsiTheme="minorHAnsi"/>
                <w:sz w:val="22"/>
                <w:szCs w:val="22"/>
              </w:rPr>
            </w:r>
          </w:p>
        </w:tc>
        <w:tc>
          <w:tcPr>
            <w:tcBorders/>
            <w:tcW w:w="5528" w:type="dxa"/>
            <w:vAlign w:val="center"/>
            <w:textDirection w:val="lrTb"/>
            <w:noWrap w:val="false"/>
          </w:tcPr>
          <w:p>
            <w:pPr>
              <w:keepNext w:val="true"/>
              <w:widowControl w:val="false"/>
              <w:pBdr/>
              <w:spacing w:before="60"/>
              <w:ind/>
              <w:jc w:val="left"/>
              <w:rPr>
                <w:rFonts w:eastAsia="Times New Roman" w:asciiTheme="minorHAnsi" w:hAnsiTheme="minorHAnsi"/>
                <w:sz w:val="22"/>
                <w:szCs w:val="22"/>
              </w:rPr>
            </w:pPr>
            <w:r>
              <w:rPr>
                <w:rFonts w:eastAsia="Times New Roman" w:asciiTheme="minorHAnsi" w:hAnsiTheme="minorHAnsi"/>
                <w:sz w:val="22"/>
                <w:szCs w:val="22"/>
              </w:rPr>
              <w:t xml:space="preserve"/>
            </w:r>
            <w:r>
              <w:rPr>
                <w:rFonts w:eastAsia="Times New Roman" w:asciiTheme="minorHAnsi" w:hAnsiTheme="minorHAnsi"/>
                <w:sz w:val="22"/>
                <w:szCs w:val="22"/>
              </w:rPr>
            </w:r>
          </w:p>
        </w:tc>
      </w:tr>
      <w:tr>
        <w:trPr>
          <w:trHeight w:val="504"/>
        </w:trPr>
        <w:tc>
          <w:tcPr>
            <w:tcBorders/>
            <w:tcW w:w="1450" w:type="dxa"/>
            <w:vAlign w:val="center"/>
            <w:textDirection w:val="lrTb"/>
            <w:noWrap w:val="false"/>
          </w:tcPr>
          <w:p>
            <w:pPr>
              <w:keepNext w:val="true"/>
              <w:widowControl w:val="false"/>
              <w:pBdr/>
              <w:spacing w:before="60"/>
              <w:ind/>
              <w:jc w:val="center"/>
              <w:rPr>
                <w:rFonts w:eastAsia="Times New Roman" w:asciiTheme="minorHAnsi" w:hAnsiTheme="minorHAnsi"/>
                <w:sz w:val="22"/>
                <w:szCs w:val="22"/>
              </w:rPr>
            </w:pPr>
            <w:r>
              <w:rPr>
                <w:rFonts w:eastAsia="Times New Roman" w:asciiTheme="minorHAnsi" w:hAnsiTheme="minorHAnsi"/>
                <w:sz w:val="22"/>
                <w:szCs w:val="22"/>
              </w:rPr>
              <w:t xml:space="preserve">6</w:t>
            </w:r>
            <w:r>
              <w:rPr>
                <w:rFonts w:eastAsia="Times New Roman" w:asciiTheme="minorHAnsi" w:hAnsiTheme="minorHAnsi"/>
                <w:sz w:val="22"/>
                <w:szCs w:val="22"/>
              </w:rPr>
            </w:r>
          </w:p>
        </w:tc>
        <w:tc>
          <w:tcPr>
            <w:tcBorders/>
            <w:tcW w:w="1527" w:type="dxa"/>
            <w:vAlign w:val="center"/>
            <w:textDirection w:val="lrTb"/>
            <w:noWrap w:val="false"/>
          </w:tcPr>
          <w:p>
            <w:pPr>
              <w:keepNext w:val="true"/>
              <w:widowControl w:val="false"/>
              <w:pBdr/>
              <w:spacing w:before="60"/>
              <w:ind/>
              <w:jc w:val="center"/>
              <w:rPr>
                <w:rFonts w:eastAsia="Times New Roman" w:asciiTheme="minorHAnsi" w:hAnsiTheme="minorHAnsi"/>
                <w:sz w:val="22"/>
                <w:szCs w:val="22"/>
              </w:rPr>
            </w:pPr>
            <w:r>
              <w:rPr>
                <w:rFonts w:eastAsia="Times New Roman" w:asciiTheme="minorHAnsi" w:hAnsiTheme="minorHAnsi"/>
                <w:sz w:val="22"/>
                <w:szCs w:val="22"/>
              </w:rPr>
              <w:t xml:space="preserve">6</w:t>
            </w:r>
            <w:r>
              <w:rPr>
                <w:rFonts w:eastAsia="Times New Roman" w:asciiTheme="minorHAnsi" w:hAnsiTheme="minorHAnsi"/>
                <w:sz w:val="22"/>
                <w:szCs w:val="22"/>
              </w:rPr>
              <w:t xml:space="preserve">,</w:t>
            </w:r>
            <w:r>
              <w:rPr>
                <w:rFonts w:eastAsia="Times New Roman" w:asciiTheme="minorHAnsi" w:hAnsiTheme="minorHAnsi"/>
                <w:sz w:val="22"/>
                <w:szCs w:val="22"/>
              </w:rPr>
            </w:r>
          </w:p>
          <w:p>
            <w:pPr>
              <w:keepNext w:val="true"/>
              <w:widowControl w:val="false"/>
              <w:pBdr/>
              <w:spacing w:before="60"/>
              <w:ind/>
              <w:jc w:val="center"/>
              <w:rPr>
                <w:rFonts w:eastAsia="Times New Roman" w:asciiTheme="minorHAnsi" w:hAnsiTheme="minorHAnsi"/>
                <w:sz w:val="22"/>
                <w:szCs w:val="22"/>
              </w:rPr>
            </w:pPr>
            <w:r>
              <w:rPr>
                <w:rFonts w:eastAsia="Times New Roman" w:asciiTheme="minorHAnsi" w:hAnsiTheme="minorHAnsi"/>
                <w:sz w:val="22"/>
                <w:szCs w:val="22"/>
              </w:rPr>
              <w:t xml:space="preserve">12.05.2026 16:21:23 (MSK+00:00)</w:t>
            </w:r>
            <w:r>
              <w:rPr>
                <w:rFonts w:eastAsia="Times New Roman" w:asciiTheme="minorHAnsi" w:hAnsiTheme="minorHAnsi"/>
                <w:sz w:val="22"/>
                <w:szCs w:val="22"/>
              </w:rPr>
            </w:r>
          </w:p>
        </w:tc>
        <w:tc>
          <w:tcPr>
            <w:tcBorders/>
            <w:tcW w:w="1701" w:type="dxa"/>
            <w:vAlign w:val="center"/>
            <w:textDirection w:val="lrTb"/>
            <w:noWrap w:val="false"/>
          </w:tcPr>
          <w:p>
            <w:pPr>
              <w:keepNext w:val="true"/>
              <w:widowControl w:val="false"/>
              <w:pBdr/>
              <w:spacing w:before="60"/>
              <w:ind/>
              <w:jc w:val="left"/>
              <w:rPr>
                <w:rFonts w:eastAsia="Times New Roman" w:asciiTheme="minorHAnsi" w:hAnsiTheme="minorHAnsi"/>
                <w:sz w:val="22"/>
                <w:szCs w:val="22"/>
              </w:rPr>
            </w:pPr>
            <w:r>
              <w:rPr>
                <w:rFonts w:eastAsia="Times New Roman" w:asciiTheme="minorHAnsi" w:hAnsiTheme="minorHAnsi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 w:asciiTheme="minorHAnsi" w:hAnsiTheme="minorHAnsi"/>
                <w:sz w:val="22"/>
                <w:szCs w:val="22"/>
              </w:rPr>
            </w:r>
          </w:p>
        </w:tc>
        <w:tc>
          <w:tcPr>
            <w:tcBorders/>
            <w:tcW w:w="5528" w:type="dxa"/>
            <w:vAlign w:val="center"/>
            <w:textDirection w:val="lrTb"/>
            <w:noWrap w:val="false"/>
          </w:tcPr>
          <w:p>
            <w:pPr>
              <w:keepNext w:val="true"/>
              <w:widowControl w:val="false"/>
              <w:pBdr/>
              <w:spacing w:before="60"/>
              <w:ind/>
              <w:jc w:val="left"/>
              <w:rPr>
                <w:rFonts w:eastAsia="Times New Roman" w:asciiTheme="minorHAnsi" w:hAnsiTheme="minorHAnsi"/>
                <w:sz w:val="22"/>
                <w:szCs w:val="22"/>
              </w:rPr>
            </w:pPr>
            <w:r>
              <w:rPr>
                <w:rFonts w:eastAsia="Times New Roman" w:asciiTheme="minorHAnsi" w:hAnsiTheme="minorHAnsi"/>
                <w:sz w:val="22"/>
                <w:szCs w:val="22"/>
              </w:rPr>
              <w:t xml:space="preserve"/>
            </w:r>
            <w:r>
              <w:rPr>
                <w:rFonts w:eastAsia="Times New Roman" w:asciiTheme="minorHAnsi" w:hAnsiTheme="minorHAnsi"/>
                <w:sz w:val="22"/>
                <w:szCs w:val="22"/>
              </w:rPr>
            </w:r>
          </w:p>
        </w:tc>
      </w:tr>
      <w:tr>
        <w:trPr>
          <w:trHeight w:val="504"/>
        </w:trPr>
        <w:tc>
          <w:tcPr>
            <w:tcBorders/>
            <w:tcW w:w="1450" w:type="dxa"/>
            <w:vAlign w:val="center"/>
            <w:textDirection w:val="lrTb"/>
            <w:noWrap w:val="false"/>
          </w:tcPr>
          <w:p>
            <w:pPr>
              <w:keepNext w:val="true"/>
              <w:widowControl w:val="false"/>
              <w:pBdr/>
              <w:spacing w:before="60"/>
              <w:ind/>
              <w:jc w:val="center"/>
              <w:rPr>
                <w:rFonts w:eastAsia="Times New Roman" w:asciiTheme="minorHAnsi" w:hAnsiTheme="minorHAnsi"/>
                <w:sz w:val="22"/>
                <w:szCs w:val="22"/>
              </w:rPr>
            </w:pPr>
            <w:r>
              <w:rPr>
                <w:rFonts w:eastAsia="Times New Roman" w:asciiTheme="minorHAnsi" w:hAnsiTheme="minorHAnsi"/>
                <w:sz w:val="22"/>
                <w:szCs w:val="22"/>
              </w:rPr>
              <w:t xml:space="preserve">9</w:t>
            </w:r>
            <w:r>
              <w:rPr>
                <w:rFonts w:eastAsia="Times New Roman" w:asciiTheme="minorHAnsi" w:hAnsiTheme="minorHAnsi"/>
                <w:sz w:val="22"/>
                <w:szCs w:val="22"/>
              </w:rPr>
            </w:r>
          </w:p>
        </w:tc>
        <w:tc>
          <w:tcPr>
            <w:tcBorders/>
            <w:tcW w:w="1527" w:type="dxa"/>
            <w:vAlign w:val="center"/>
            <w:textDirection w:val="lrTb"/>
            <w:noWrap w:val="false"/>
          </w:tcPr>
          <w:p>
            <w:pPr>
              <w:keepNext w:val="true"/>
              <w:widowControl w:val="false"/>
              <w:pBdr/>
              <w:spacing w:before="60"/>
              <w:ind/>
              <w:jc w:val="center"/>
              <w:rPr>
                <w:rFonts w:eastAsia="Times New Roman" w:asciiTheme="minorHAnsi" w:hAnsiTheme="minorHAnsi"/>
                <w:sz w:val="22"/>
                <w:szCs w:val="22"/>
              </w:rPr>
            </w:pPr>
            <w:r>
              <w:rPr>
                <w:rFonts w:eastAsia="Times New Roman" w:asciiTheme="minorHAnsi" w:hAnsiTheme="minorHAnsi"/>
                <w:sz w:val="22"/>
                <w:szCs w:val="22"/>
              </w:rPr>
              <w:t xml:space="preserve">9</w:t>
            </w:r>
            <w:r>
              <w:rPr>
                <w:rFonts w:eastAsia="Times New Roman" w:asciiTheme="minorHAnsi" w:hAnsiTheme="minorHAnsi"/>
                <w:sz w:val="22"/>
                <w:szCs w:val="22"/>
              </w:rPr>
              <w:t xml:space="preserve">,</w:t>
            </w:r>
            <w:r>
              <w:rPr>
                <w:rFonts w:eastAsia="Times New Roman" w:asciiTheme="minorHAnsi" w:hAnsiTheme="minorHAnsi"/>
                <w:sz w:val="22"/>
                <w:szCs w:val="22"/>
              </w:rPr>
            </w:r>
          </w:p>
          <w:p>
            <w:pPr>
              <w:keepNext w:val="true"/>
              <w:widowControl w:val="false"/>
              <w:pBdr/>
              <w:spacing w:before="60"/>
              <w:ind/>
              <w:jc w:val="center"/>
              <w:rPr>
                <w:rFonts w:eastAsia="Times New Roman" w:asciiTheme="minorHAnsi" w:hAnsiTheme="minorHAnsi"/>
                <w:sz w:val="22"/>
                <w:szCs w:val="22"/>
              </w:rPr>
            </w:pPr>
            <w:r>
              <w:rPr>
                <w:rFonts w:eastAsia="Times New Roman" w:asciiTheme="minorHAnsi" w:hAnsiTheme="minorHAnsi"/>
                <w:sz w:val="22"/>
                <w:szCs w:val="22"/>
              </w:rPr>
              <w:t xml:space="preserve">12.05.2026 21:31:49 (MSK+00:00)</w:t>
            </w:r>
            <w:r>
              <w:rPr>
                <w:rFonts w:eastAsia="Times New Roman" w:asciiTheme="minorHAnsi" w:hAnsiTheme="minorHAnsi"/>
                <w:sz w:val="22"/>
                <w:szCs w:val="22"/>
              </w:rPr>
            </w:r>
          </w:p>
        </w:tc>
        <w:tc>
          <w:tcPr>
            <w:tcBorders/>
            <w:tcW w:w="1701" w:type="dxa"/>
            <w:vAlign w:val="center"/>
            <w:textDirection w:val="lrTb"/>
            <w:noWrap w:val="false"/>
          </w:tcPr>
          <w:p>
            <w:pPr>
              <w:keepNext w:val="true"/>
              <w:widowControl w:val="false"/>
              <w:pBdr/>
              <w:spacing w:before="60"/>
              <w:ind/>
              <w:jc w:val="left"/>
              <w:rPr>
                <w:rFonts w:eastAsia="Times New Roman" w:asciiTheme="minorHAnsi" w:hAnsiTheme="minorHAnsi"/>
                <w:sz w:val="22"/>
                <w:szCs w:val="22"/>
              </w:rPr>
            </w:pPr>
            <w:r>
              <w:rPr>
                <w:rFonts w:eastAsia="Times New Roman" w:asciiTheme="minorHAnsi" w:hAnsiTheme="minorHAnsi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 w:asciiTheme="minorHAnsi" w:hAnsiTheme="minorHAnsi"/>
                <w:sz w:val="22"/>
                <w:szCs w:val="22"/>
              </w:rPr>
            </w:r>
          </w:p>
        </w:tc>
        <w:tc>
          <w:tcPr>
            <w:tcBorders/>
            <w:tcW w:w="5528" w:type="dxa"/>
            <w:vAlign w:val="center"/>
            <w:textDirection w:val="lrTb"/>
            <w:noWrap w:val="false"/>
          </w:tcPr>
          <w:p>
            <w:pPr>
              <w:keepNext w:val="true"/>
              <w:widowControl w:val="false"/>
              <w:pBdr/>
              <w:spacing w:before="60"/>
              <w:ind/>
              <w:jc w:val="left"/>
              <w:rPr>
                <w:rFonts w:eastAsia="Times New Roman" w:asciiTheme="minorHAnsi" w:hAnsiTheme="minorHAnsi"/>
                <w:sz w:val="22"/>
                <w:szCs w:val="22"/>
              </w:rPr>
            </w:pPr>
            <w:r>
              <w:rPr>
                <w:rFonts w:eastAsia="Times New Roman" w:asciiTheme="minorHAnsi" w:hAnsiTheme="minorHAnsi"/>
                <w:sz w:val="22"/>
                <w:szCs w:val="22"/>
              </w:rPr>
              <w:t xml:space="preserve"/>
            </w:r>
            <w:r>
              <w:rPr>
                <w:rFonts w:eastAsia="Times New Roman" w:asciiTheme="minorHAnsi" w:hAnsiTheme="minorHAnsi"/>
                <w:sz w:val="22"/>
                <w:szCs w:val="22"/>
              </w:rPr>
            </w:r>
          </w:p>
        </w:tc>
      </w:tr>
      <w:tr>
        <w:trPr>
          <w:trHeight w:val="504"/>
        </w:trPr>
        <w:tc>
          <w:tcPr>
            <w:tcBorders/>
            <w:tcW w:w="1450" w:type="dxa"/>
            <w:vAlign w:val="center"/>
            <w:textDirection w:val="lrTb"/>
            <w:noWrap w:val="false"/>
          </w:tcPr>
          <w:p>
            <w:pPr>
              <w:keepNext w:val="true"/>
              <w:widowControl w:val="false"/>
              <w:pBdr/>
              <w:spacing w:before="60"/>
              <w:ind/>
              <w:jc w:val="center"/>
              <w:rPr>
                <w:rFonts w:eastAsia="Times New Roman" w:asciiTheme="minorHAnsi" w:hAnsiTheme="minorHAnsi"/>
                <w:sz w:val="22"/>
                <w:szCs w:val="22"/>
              </w:rPr>
            </w:pPr>
            <w:r>
              <w:rPr>
                <w:rFonts w:eastAsia="Times New Roman" w:asciiTheme="minorHAnsi" w:hAnsiTheme="minorHAnsi"/>
                <w:sz w:val="22"/>
                <w:szCs w:val="22"/>
              </w:rPr>
              <w:t xml:space="preserve">10</w:t>
            </w:r>
            <w:r>
              <w:rPr>
                <w:rFonts w:eastAsia="Times New Roman" w:asciiTheme="minorHAnsi" w:hAnsiTheme="minorHAnsi"/>
                <w:sz w:val="22"/>
                <w:szCs w:val="22"/>
              </w:rPr>
            </w:r>
          </w:p>
        </w:tc>
        <w:tc>
          <w:tcPr>
            <w:tcBorders/>
            <w:tcW w:w="1527" w:type="dxa"/>
            <w:vAlign w:val="center"/>
            <w:textDirection w:val="lrTb"/>
            <w:noWrap w:val="false"/>
          </w:tcPr>
          <w:p>
            <w:pPr>
              <w:keepNext w:val="true"/>
              <w:widowControl w:val="false"/>
              <w:pBdr/>
              <w:spacing w:before="60"/>
              <w:ind/>
              <w:jc w:val="center"/>
              <w:rPr>
                <w:rFonts w:eastAsia="Times New Roman" w:asciiTheme="minorHAnsi" w:hAnsiTheme="minorHAnsi"/>
                <w:sz w:val="22"/>
                <w:szCs w:val="22"/>
              </w:rPr>
            </w:pPr>
            <w:r>
              <w:rPr>
                <w:rFonts w:eastAsia="Times New Roman" w:asciiTheme="minorHAnsi" w:hAnsiTheme="minorHAnsi"/>
                <w:sz w:val="22"/>
                <w:szCs w:val="22"/>
              </w:rPr>
              <w:t xml:space="preserve">10</w:t>
            </w:r>
            <w:r>
              <w:rPr>
                <w:rFonts w:eastAsia="Times New Roman" w:asciiTheme="minorHAnsi" w:hAnsiTheme="minorHAnsi"/>
                <w:sz w:val="22"/>
                <w:szCs w:val="22"/>
              </w:rPr>
              <w:t xml:space="preserve">,</w:t>
            </w:r>
            <w:r>
              <w:rPr>
                <w:rFonts w:eastAsia="Times New Roman" w:asciiTheme="minorHAnsi" w:hAnsiTheme="minorHAnsi"/>
                <w:sz w:val="22"/>
                <w:szCs w:val="22"/>
              </w:rPr>
            </w:r>
          </w:p>
          <w:p>
            <w:pPr>
              <w:keepNext w:val="true"/>
              <w:widowControl w:val="false"/>
              <w:pBdr/>
              <w:spacing w:before="60"/>
              <w:ind/>
              <w:jc w:val="center"/>
              <w:rPr>
                <w:rFonts w:eastAsia="Times New Roman" w:asciiTheme="minorHAnsi" w:hAnsiTheme="minorHAnsi"/>
                <w:sz w:val="22"/>
                <w:szCs w:val="22"/>
              </w:rPr>
            </w:pPr>
            <w:r>
              <w:rPr>
                <w:rFonts w:eastAsia="Times New Roman" w:asciiTheme="minorHAnsi" w:hAnsiTheme="minorHAnsi"/>
                <w:sz w:val="22"/>
                <w:szCs w:val="22"/>
              </w:rPr>
              <w:t xml:space="preserve">13.05.2026 06:35:03 (MSK+00:00)</w:t>
            </w:r>
            <w:r>
              <w:rPr>
                <w:rFonts w:eastAsia="Times New Roman" w:asciiTheme="minorHAnsi" w:hAnsiTheme="minorHAnsi"/>
                <w:sz w:val="22"/>
                <w:szCs w:val="22"/>
              </w:rPr>
            </w:r>
          </w:p>
        </w:tc>
        <w:tc>
          <w:tcPr>
            <w:tcBorders/>
            <w:tcW w:w="1701" w:type="dxa"/>
            <w:vAlign w:val="center"/>
            <w:textDirection w:val="lrTb"/>
            <w:noWrap w:val="false"/>
          </w:tcPr>
          <w:p>
            <w:pPr>
              <w:keepNext w:val="true"/>
              <w:widowControl w:val="false"/>
              <w:pBdr/>
              <w:spacing w:before="60"/>
              <w:ind/>
              <w:jc w:val="left"/>
              <w:rPr>
                <w:rFonts w:eastAsia="Times New Roman" w:asciiTheme="minorHAnsi" w:hAnsiTheme="minorHAnsi"/>
                <w:sz w:val="22"/>
                <w:szCs w:val="22"/>
              </w:rPr>
            </w:pPr>
            <w:r>
              <w:rPr>
                <w:rFonts w:eastAsia="Times New Roman" w:asciiTheme="minorHAnsi" w:hAnsiTheme="minorHAnsi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 w:asciiTheme="minorHAnsi" w:hAnsiTheme="minorHAnsi"/>
                <w:sz w:val="22"/>
                <w:szCs w:val="22"/>
              </w:rPr>
            </w:r>
          </w:p>
        </w:tc>
        <w:tc>
          <w:tcPr>
            <w:tcBorders/>
            <w:tcW w:w="5528" w:type="dxa"/>
            <w:vAlign w:val="center"/>
            <w:textDirection w:val="lrTb"/>
            <w:noWrap w:val="false"/>
          </w:tcPr>
          <w:p>
            <w:pPr>
              <w:keepNext w:val="true"/>
              <w:widowControl w:val="false"/>
              <w:pBdr/>
              <w:spacing w:before="60"/>
              <w:ind/>
              <w:jc w:val="left"/>
              <w:rPr>
                <w:rFonts w:eastAsia="Times New Roman" w:asciiTheme="minorHAnsi" w:hAnsiTheme="minorHAnsi"/>
                <w:sz w:val="22"/>
                <w:szCs w:val="22"/>
              </w:rPr>
            </w:pPr>
            <w:r>
              <w:rPr>
                <w:rFonts w:eastAsia="Times New Roman" w:asciiTheme="minorHAnsi" w:hAnsiTheme="minorHAnsi"/>
                <w:sz w:val="22"/>
                <w:szCs w:val="22"/>
              </w:rPr>
              <w:t xml:space="preserve"/>
            </w:r>
            <w:r>
              <w:rPr>
                <w:rFonts w:eastAsia="Times New Roman" w:asciiTheme="minorHAnsi" w:hAnsiTheme="minorHAnsi"/>
                <w:sz w:val="22"/>
                <w:szCs w:val="22"/>
              </w:rPr>
            </w:r>
          </w:p>
        </w:tc>
      </w:tr>
      <w:tr>
        <w:trPr>
          <w:trHeight w:val="504"/>
        </w:trPr>
        <w:tc>
          <w:tcPr>
            <w:tcBorders/>
            <w:tcW w:w="1450" w:type="dxa"/>
            <w:vAlign w:val="center"/>
            <w:textDirection w:val="lrTb"/>
            <w:noWrap w:val="false"/>
          </w:tcPr>
          <w:p>
            <w:pPr>
              <w:keepNext w:val="true"/>
              <w:widowControl w:val="false"/>
              <w:pBdr/>
              <w:spacing w:before="60"/>
              <w:ind/>
              <w:jc w:val="center"/>
              <w:rPr>
                <w:rFonts w:eastAsia="Times New Roman" w:asciiTheme="minorHAnsi" w:hAnsiTheme="minorHAnsi"/>
                <w:sz w:val="22"/>
                <w:szCs w:val="22"/>
              </w:rPr>
            </w:pPr>
            <w:r>
              <w:rPr>
                <w:rFonts w:eastAsia="Times New Roman" w:asciiTheme="minorHAnsi" w:hAnsiTheme="minorHAnsi"/>
                <w:sz w:val="22"/>
                <w:szCs w:val="22"/>
              </w:rPr>
              <w:t xml:space="preserve">11</w:t>
            </w:r>
            <w:r>
              <w:rPr>
                <w:rFonts w:eastAsia="Times New Roman" w:asciiTheme="minorHAnsi" w:hAnsiTheme="minorHAnsi"/>
                <w:sz w:val="22"/>
                <w:szCs w:val="22"/>
              </w:rPr>
            </w:r>
          </w:p>
        </w:tc>
        <w:tc>
          <w:tcPr>
            <w:tcBorders/>
            <w:tcW w:w="1527" w:type="dxa"/>
            <w:vAlign w:val="center"/>
            <w:textDirection w:val="lrTb"/>
            <w:noWrap w:val="false"/>
          </w:tcPr>
          <w:p>
            <w:pPr>
              <w:keepNext w:val="true"/>
              <w:widowControl w:val="false"/>
              <w:pBdr/>
              <w:spacing w:before="60"/>
              <w:ind/>
              <w:jc w:val="center"/>
              <w:rPr>
                <w:rFonts w:eastAsia="Times New Roman" w:asciiTheme="minorHAnsi" w:hAnsiTheme="minorHAnsi"/>
                <w:sz w:val="22"/>
                <w:szCs w:val="22"/>
              </w:rPr>
            </w:pPr>
            <w:r>
              <w:rPr>
                <w:rFonts w:eastAsia="Times New Roman" w:asciiTheme="minorHAnsi" w:hAnsiTheme="minorHAnsi"/>
                <w:sz w:val="22"/>
                <w:szCs w:val="22"/>
              </w:rPr>
              <w:t xml:space="preserve">11</w:t>
            </w:r>
            <w:r>
              <w:rPr>
                <w:rFonts w:eastAsia="Times New Roman" w:asciiTheme="minorHAnsi" w:hAnsiTheme="minorHAnsi"/>
                <w:sz w:val="22"/>
                <w:szCs w:val="22"/>
              </w:rPr>
              <w:t xml:space="preserve">,</w:t>
            </w:r>
            <w:r>
              <w:rPr>
                <w:rFonts w:eastAsia="Times New Roman" w:asciiTheme="minorHAnsi" w:hAnsiTheme="minorHAnsi"/>
                <w:sz w:val="22"/>
                <w:szCs w:val="22"/>
              </w:rPr>
            </w:r>
          </w:p>
          <w:p>
            <w:pPr>
              <w:keepNext w:val="true"/>
              <w:widowControl w:val="false"/>
              <w:pBdr/>
              <w:spacing w:before="60"/>
              <w:ind/>
              <w:jc w:val="center"/>
              <w:rPr>
                <w:rFonts w:eastAsia="Times New Roman" w:asciiTheme="minorHAnsi" w:hAnsiTheme="minorHAnsi"/>
                <w:sz w:val="22"/>
                <w:szCs w:val="22"/>
              </w:rPr>
            </w:pPr>
            <w:r>
              <w:rPr>
                <w:rFonts w:eastAsia="Times New Roman" w:asciiTheme="minorHAnsi" w:hAnsiTheme="minorHAnsi"/>
                <w:sz w:val="22"/>
                <w:szCs w:val="22"/>
              </w:rPr>
              <w:t xml:space="preserve">13.05.2026 06:38:36 (MSK+00:00)</w:t>
            </w:r>
            <w:r>
              <w:rPr>
                <w:rFonts w:eastAsia="Times New Roman" w:asciiTheme="minorHAnsi" w:hAnsiTheme="minorHAnsi"/>
                <w:sz w:val="22"/>
                <w:szCs w:val="22"/>
              </w:rPr>
            </w:r>
          </w:p>
        </w:tc>
        <w:tc>
          <w:tcPr>
            <w:tcBorders/>
            <w:tcW w:w="1701" w:type="dxa"/>
            <w:vAlign w:val="center"/>
            <w:textDirection w:val="lrTb"/>
            <w:noWrap w:val="false"/>
          </w:tcPr>
          <w:p>
            <w:pPr>
              <w:keepNext w:val="true"/>
              <w:widowControl w:val="false"/>
              <w:pBdr/>
              <w:spacing w:before="60"/>
              <w:ind/>
              <w:jc w:val="left"/>
              <w:rPr>
                <w:rFonts w:eastAsia="Times New Roman" w:asciiTheme="minorHAnsi" w:hAnsiTheme="minorHAnsi"/>
                <w:sz w:val="22"/>
                <w:szCs w:val="22"/>
              </w:rPr>
            </w:pPr>
            <w:r>
              <w:rPr>
                <w:rFonts w:eastAsia="Times New Roman" w:asciiTheme="minorHAnsi" w:hAnsiTheme="minorHAnsi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 w:asciiTheme="minorHAnsi" w:hAnsiTheme="minorHAnsi"/>
                <w:sz w:val="22"/>
                <w:szCs w:val="22"/>
              </w:rPr>
            </w:r>
          </w:p>
        </w:tc>
        <w:tc>
          <w:tcPr>
            <w:tcBorders/>
            <w:tcW w:w="5528" w:type="dxa"/>
            <w:vAlign w:val="center"/>
            <w:textDirection w:val="lrTb"/>
            <w:noWrap w:val="false"/>
          </w:tcPr>
          <w:p>
            <w:pPr>
              <w:keepNext w:val="true"/>
              <w:widowControl w:val="false"/>
              <w:pBdr/>
              <w:spacing w:before="60"/>
              <w:ind/>
              <w:jc w:val="left"/>
              <w:rPr>
                <w:rFonts w:eastAsia="Times New Roman" w:asciiTheme="minorHAnsi" w:hAnsiTheme="minorHAnsi"/>
                <w:sz w:val="22"/>
                <w:szCs w:val="22"/>
              </w:rPr>
            </w:pPr>
            <w:r>
              <w:rPr>
                <w:rFonts w:eastAsia="Times New Roman" w:asciiTheme="minorHAnsi" w:hAnsiTheme="minorHAnsi"/>
                <w:sz w:val="22"/>
                <w:szCs w:val="22"/>
              </w:rPr>
              <w:t xml:space="preserve"/>
            </w:r>
            <w:r>
              <w:rPr>
                <w:rFonts w:eastAsia="Times New Roman" w:asciiTheme="minorHAnsi" w:hAnsiTheme="minorHAnsi"/>
                <w:sz w:val="22"/>
                <w:szCs w:val="22"/>
              </w:rPr>
            </w:r>
          </w:p>
        </w:tc>
      </w:tr>
    </w:tbl>
    <w:p>
      <w:pPr>
        <w:pStyle w:val="676"/>
        <w:widowControl w:val="false"/>
        <w:numPr>
          <w:ilvl w:val="0"/>
          <w:numId w:val="24"/>
        </w:numPr>
        <w:pBdr/>
        <w:spacing w:after="0" w:before="60" w:line="240" w:lineRule="auto"/>
        <w:ind/>
        <w:rPr>
          <w:rFonts w:eastAsia="Times New Roman" w:asciiTheme="minorHAnsi" w:hAnsiTheme="minorHAnsi" w:cstheme="minorHAnsi"/>
          <w:lang w:eastAsia="ru-RU"/>
        </w:rPr>
      </w:pPr>
      <w:r>
        <w:rPr>
          <w:rFonts w:eastAsia="Times New Roman" w:asciiTheme="minorHAnsi" w:hAnsiTheme="minorHAnsi" w:cstheme="minorHAnsi"/>
          <w:lang w:eastAsia="ru-RU"/>
        </w:rPr>
        <w:t xml:space="preserve">Присвоенные вторым частям заявок на уч</w:t>
      </w:r>
      <w:r>
        <w:rPr>
          <w:rFonts w:eastAsia="Times New Roman" w:asciiTheme="minorHAnsi" w:hAnsiTheme="minorHAnsi" w:cstheme="minorHAnsi"/>
          <w:lang w:eastAsia="ru-RU"/>
        </w:rPr>
        <w:t xml:space="preserve">астие в закупке, признанным соответствующими извещению об осуществлении закупки, значения по критерию, предусмотренному пунктом 4 части 1 статьи 32 настоящего Федерального закона (в случае установления такого критерия в извещении об осуществлении закупки):</w:t>
      </w:r>
      <w:r>
        <w:rPr>
          <w:rFonts w:eastAsia="Times New Roman" w:asciiTheme="minorHAnsi" w:hAnsiTheme="minorHAnsi" w:cstheme="minorHAnsi"/>
          <w:lang w:eastAsia="ru-RU"/>
        </w:rPr>
      </w:r>
    </w:p>
    <w:p>
      <w:pPr/>
      <w:r>
        <w:rPr/>
        <w:t xml:space="preserve"/>
      </w:r>
    </w:p>
    <w:p>
      <w:pPr/>
      <w:r>
        <w:rPr/>
        <w:t xml:space="preserve">Оценка заявки №2:</w:t>
      </w:r>
    </w:p>
    <w:tbl>
      <w:tblGrid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№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Критерии оценки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Коэффициент значимости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Предложение участника</w:t>
            </w:r>
          </w:p>
        </w:tc>
        <w:tc>
          <w:tcPr>
            <w:tcW w:w="150" w:type="dxa"/>
            <w:vAlign w:val="center"/>
            <w:gridSpan w:val="2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Сведения об оценке с учетом значимости заявки по каждому члену комиссии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Оценка с учетом значимости</w:t>
            </w:r>
          </w:p>
        </w:tc>
      </w:tr>
      <w:tr>
        <w:trPr>
          <w:trHeight w:val="2000" w:hRule="atLeast"/>
        </w:trPr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Лутфрахманов Ренат Юлаевич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Назмутдинов Талгат Ришатович</w:t>
            </w:r>
          </w:p>
        </w:tc>
        <w:tc>
          <w:tcPr>
            <w:tcW w:w="150" w:type="dxa"/>
            <w:vMerge w:val="continue"/>
            <w:noWrap/>
          </w:tcPr>
          <w:p/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23.81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59.52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59.52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59.52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Общее количество исполненных участником закупки договоров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25.0000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59.52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59.52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59.52</w:t>
            </w:r>
          </w:p>
        </w:tc>
      </w:tr>
    </w:tbl>
    <w:p>
      <w:pPr/>
      <w:r>
        <w:rPr/>
        <w:t xml:space="preserve"/>
      </w:r>
    </w:p>
    <w:p>
      <w:pPr/>
      <w:r>
        <w:rPr/>
        <w:t xml:space="preserve">Оценка заявки №3:</w:t>
      </w:r>
    </w:p>
    <w:tbl>
      <w:tblGrid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№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Критерии оценки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Коэффициент значимости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Предложение участника</w:t>
            </w:r>
          </w:p>
        </w:tc>
        <w:tc>
          <w:tcPr>
            <w:tcW w:w="150" w:type="dxa"/>
            <w:vAlign w:val="center"/>
            <w:gridSpan w:val="2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Сведения об оценке с учетом значимости заявки по каждому члену комиссии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Оценка с учетом значимости</w:t>
            </w:r>
          </w:p>
        </w:tc>
      </w:tr>
      <w:tr>
        <w:trPr>
          <w:trHeight w:val="2000" w:hRule="atLeast"/>
        </w:trPr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Лутфрахманов Ренат Юлаевич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Назмутдинов Талгат Ришатович</w:t>
            </w:r>
          </w:p>
        </w:tc>
        <w:tc>
          <w:tcPr>
            <w:tcW w:w="150" w:type="dxa"/>
            <w:vMerge w:val="continue"/>
            <w:noWrap/>
          </w:tcPr>
          <w:p/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Общее количество исполненных участником закупки договоров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42.0000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</w:tr>
    </w:tbl>
    <w:p>
      <w:pPr/>
      <w:r>
        <w:rPr/>
        <w:t xml:space="preserve"/>
      </w:r>
    </w:p>
    <w:p>
      <w:pPr/>
      <w:r>
        <w:rPr/>
        <w:t xml:space="preserve">Оценка заявки №4:</w:t>
      </w:r>
    </w:p>
    <w:tbl>
      <w:tblGrid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№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Критерии оценки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Коэффициент значимости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Предложение участника</w:t>
            </w:r>
          </w:p>
        </w:tc>
        <w:tc>
          <w:tcPr>
            <w:tcW w:w="150" w:type="dxa"/>
            <w:vAlign w:val="center"/>
            <w:gridSpan w:val="2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Сведения об оценке с учетом значимости заявки по каждому члену комиссии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Оценка с учетом значимости</w:t>
            </w:r>
          </w:p>
        </w:tc>
      </w:tr>
      <w:tr>
        <w:trPr>
          <w:trHeight w:val="2000" w:hRule="atLeast"/>
        </w:trPr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Лутфрахманов Ренат Юлаевич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Назмутдинов Талгат Ришатович</w:t>
            </w:r>
          </w:p>
        </w:tc>
        <w:tc>
          <w:tcPr>
            <w:tcW w:w="150" w:type="dxa"/>
            <w:vMerge w:val="continue"/>
            <w:noWrap/>
          </w:tcPr>
          <w:p/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1.90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4.76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4.76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4.76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Общее количество исполненных участником закупки договоров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2.0000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4.76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4.76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4.76</w:t>
            </w:r>
          </w:p>
        </w:tc>
      </w:tr>
    </w:tbl>
    <w:p>
      <w:pPr/>
      <w:r>
        <w:rPr/>
        <w:t xml:space="preserve"/>
      </w:r>
    </w:p>
    <w:p>
      <w:pPr/>
      <w:r>
        <w:rPr/>
        <w:t xml:space="preserve">Оценка заявки №6:</w:t>
      </w:r>
    </w:p>
    <w:tbl>
      <w:tblGrid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№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Критерии оценки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Коэффициент значимости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Предложение участника</w:t>
            </w:r>
          </w:p>
        </w:tc>
        <w:tc>
          <w:tcPr>
            <w:tcW w:w="150" w:type="dxa"/>
            <w:vAlign w:val="center"/>
            <w:gridSpan w:val="2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Сведения об оценке с учетом значимости заявки по каждому члену комиссии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Оценка с учетом значимости</w:t>
            </w:r>
          </w:p>
        </w:tc>
      </w:tr>
      <w:tr>
        <w:trPr>
          <w:trHeight w:val="2000" w:hRule="atLeast"/>
        </w:trPr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Лутфрахманов Ренат Юлаевич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Назмутдинов Талгат Ришатович</w:t>
            </w:r>
          </w:p>
        </w:tc>
        <w:tc>
          <w:tcPr>
            <w:tcW w:w="150" w:type="dxa"/>
            <w:vMerge w:val="continue"/>
            <w:noWrap/>
          </w:tcPr>
          <w:p/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15.24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38.10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38.10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38.10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Общее количество исполненных участником закупки договоров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16.0000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38.10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38.10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38.10</w:t>
            </w:r>
          </w:p>
        </w:tc>
      </w:tr>
    </w:tbl>
    <w:p>
      <w:pPr/>
      <w:r>
        <w:rPr/>
        <w:t xml:space="preserve"/>
      </w:r>
    </w:p>
    <w:p>
      <w:pPr/>
      <w:r>
        <w:rPr/>
        <w:t xml:space="preserve">Оценка заявки №9:</w:t>
      </w:r>
    </w:p>
    <w:tbl>
      <w:tblGrid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№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Критерии оценки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Коэффициент значимости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Предложение участника</w:t>
            </w:r>
          </w:p>
        </w:tc>
        <w:tc>
          <w:tcPr>
            <w:tcW w:w="150" w:type="dxa"/>
            <w:vAlign w:val="center"/>
            <w:gridSpan w:val="2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Сведения об оценке с учетом значимости заявки по каждому члену комиссии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Оценка с учетом значимости</w:t>
            </w:r>
          </w:p>
        </w:tc>
      </w:tr>
      <w:tr>
        <w:trPr>
          <w:trHeight w:val="2000" w:hRule="atLeast"/>
        </w:trPr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Лутфрахманов Ренат Юлаевич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Назмутдинов Талгат Ришатович</w:t>
            </w:r>
          </w:p>
        </w:tc>
        <w:tc>
          <w:tcPr>
            <w:tcW w:w="150" w:type="dxa"/>
            <w:vMerge w:val="continue"/>
            <w:noWrap/>
          </w:tcPr>
          <w:p/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16.19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40.48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40.48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40.48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Общее количество исполненных участником закупки договоров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17.0000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40.48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40.48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40.48</w:t>
            </w:r>
          </w:p>
        </w:tc>
      </w:tr>
    </w:tbl>
    <w:p>
      <w:pPr/>
      <w:r>
        <w:rPr/>
        <w:t xml:space="preserve"/>
      </w:r>
    </w:p>
    <w:p>
      <w:pPr/>
      <w:r>
        <w:rPr/>
        <w:t xml:space="preserve">Оценка заявки №10:</w:t>
      </w:r>
    </w:p>
    <w:tbl>
      <w:tblGrid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№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Критерии оценки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Коэффициент значимости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Предложение участника</w:t>
            </w:r>
          </w:p>
        </w:tc>
        <w:tc>
          <w:tcPr>
            <w:tcW w:w="150" w:type="dxa"/>
            <w:vAlign w:val="center"/>
            <w:gridSpan w:val="2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Сведения об оценке с учетом значимости заявки по каждому члену комиссии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Оценка с учетом значимости</w:t>
            </w:r>
          </w:p>
        </w:tc>
      </w:tr>
      <w:tr>
        <w:trPr>
          <w:trHeight w:val="2000" w:hRule="atLeast"/>
        </w:trPr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Лутфрахманов Ренат Юлаевич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Назмутдинов Талгат Ришатович</w:t>
            </w:r>
          </w:p>
        </w:tc>
        <w:tc>
          <w:tcPr>
            <w:tcW w:w="150" w:type="dxa"/>
            <w:vMerge w:val="continue"/>
            <w:noWrap/>
          </w:tcPr>
          <w:p/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Общее количество исполненных участником закупки договоров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</w:tr>
    </w:tbl>
    <w:p>
      <w:pPr/>
      <w:r>
        <w:rPr/>
        <w:t xml:space="preserve"/>
      </w:r>
    </w:p>
    <w:p>
      <w:pPr/>
      <w:r>
        <w:rPr/>
        <w:t xml:space="preserve">Оценка заявки №11:</w:t>
      </w:r>
    </w:p>
    <w:tbl>
      <w:tblGrid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№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Критерии оценки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Коэффициент значимости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Предложение участника</w:t>
            </w:r>
          </w:p>
        </w:tc>
        <w:tc>
          <w:tcPr>
            <w:tcW w:w="150" w:type="dxa"/>
            <w:vAlign w:val="center"/>
            <w:gridSpan w:val="2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Сведения об оценке с учетом значимости заявки по каждому члену комиссии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Оценка с учетом значимости</w:t>
            </w:r>
          </w:p>
        </w:tc>
      </w:tr>
      <w:tr>
        <w:trPr>
          <w:trHeight w:val="2000" w:hRule="atLeast"/>
        </w:trPr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Лутфрахманов Ренат Юлаевич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Назмутдинов Талгат Ришатович</w:t>
            </w:r>
          </w:p>
        </w:tc>
        <w:tc>
          <w:tcPr>
            <w:tcW w:w="150" w:type="dxa"/>
            <w:vMerge w:val="continue"/>
            <w:noWrap/>
          </w:tcPr>
          <w:p/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Общее количество исполненных участником закупки договоров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</w:tr>
    </w:tbl>
    <w:p>
      <w:pPr>
        <w:pStyle w:val="676"/>
        <w:widowControl w:val="false"/>
        <w:numPr>
          <w:ilvl w:val="0"/>
          <w:numId w:val="24"/>
        </w:numPr>
        <w:pBdr/>
        <w:spacing w:after="0" w:before="60" w:line="240" w:lineRule="auto"/>
        <w:ind/>
        <w:rPr>
          <w:rFonts w:eastAsia="Times New Roman" w:asciiTheme="minorHAnsi" w:hAnsiTheme="minorHAnsi" w:cstheme="minorHAnsi"/>
          <w:lang w:eastAsia="ru-RU"/>
        </w:rPr>
      </w:pPr>
      <w:r>
        <w:rPr>
          <w:rFonts w:eastAsia="Times New Roman" w:asciiTheme="minorHAnsi" w:hAnsiTheme="minorHAnsi" w:cstheme="minorHAnsi"/>
          <w:lang w:eastAsia="ru-RU"/>
        </w:rPr>
        <w:t xml:space="preserve">Информация о решении каждого члена комиссии по осуществлению закупок, принимавшего участие в рассмотрении и оценке вторых частей заявок на участие в закупке, в отношении каждой второй части заявки на участие в закупке:</w:t>
      </w:r>
      <w:r>
        <w:rPr>
          <w:rFonts w:eastAsia="Times New Roman" w:asciiTheme="minorHAnsi" w:hAnsiTheme="minorHAnsi" w:cstheme="minorHAnsi"/>
          <w:lang w:eastAsia="ru-RU"/>
        </w:rPr>
      </w:r>
    </w:p>
    <w:tbl>
      <w:tblGrid>
        <w:gridCol w:w="3212.6666666666669698315672576427459716796875" w:type="dxa"/>
        <w:gridCol w:w="3212.6666666666669698315672576427459716796875" w:type="dxa"/>
        <w:gridCol w:w="3212.6666666666669698315672576427459716796875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3212.66666666666696983156725764274597167968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3212.66666666666696983156725764274597167968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  <w:tc>
          <w:tcPr>
            <w:tcW w:w="3212.66666666666696983156725764274597167968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Информация о наличии (отсутствии) конфликта интересов между членом комиссии и участником закупки</w:t>
            </w:r>
          </w:p>
        </w:tc>
      </w:tr>
      <w:tr>
        <w:trPr/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Лутфрахманов Ренат Юлаевич</w:t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Отсутствует</w:t>
            </w:r>
          </w:p>
        </w:tc>
      </w:tr>
      <w:tr>
        <w:trPr/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Назмутдинов Талгат Ришатович</w:t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Отсутствует</w:t>
            </w:r>
          </w:p>
        </w:tc>
      </w:tr>
      <w:tr>
        <w:trPr/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Лутфрахманов Ренат Юлаевич</w:t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Отсутствует</w:t>
            </w:r>
          </w:p>
        </w:tc>
      </w:tr>
      <w:tr>
        <w:trPr/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Назмутдинов Талгат Ришатович</w:t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Отсутствует</w:t>
            </w:r>
          </w:p>
        </w:tc>
      </w:tr>
      <w:tr>
        <w:trPr/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Лутфрахманов Ренат Юлаевич</w:t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Отсутствует</w:t>
            </w:r>
          </w:p>
        </w:tc>
      </w:tr>
      <w:tr>
        <w:trPr/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Назмутдинов Талгат Ришатович</w:t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Отсутствует</w:t>
            </w:r>
          </w:p>
        </w:tc>
      </w:tr>
      <w:tr>
        <w:trPr/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6</w:t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Лутфрахманов Ренат Юлаевич</w:t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Отсутствует</w:t>
            </w:r>
          </w:p>
        </w:tc>
      </w:tr>
      <w:tr>
        <w:trPr/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Назмутдинов Талгат Ришатович</w:t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Отсутствует</w:t>
            </w:r>
          </w:p>
        </w:tc>
      </w:tr>
      <w:tr>
        <w:trPr/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9</w:t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Лутфрахманов Ренат Юлаевич</w:t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Отсутствует</w:t>
            </w:r>
          </w:p>
        </w:tc>
      </w:tr>
      <w:tr>
        <w:trPr/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Назмутдинов Талгат Ришатович</w:t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Отсутствует</w:t>
            </w:r>
          </w:p>
        </w:tc>
      </w:tr>
      <w:tr>
        <w:trPr/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10</w:t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Лутфрахманов Ренат Юлаевич</w:t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Отсутствует</w:t>
            </w:r>
          </w:p>
        </w:tc>
      </w:tr>
      <w:tr>
        <w:trPr/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Назмутдинов Талгат Ришатович</w:t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Отсутствует</w:t>
            </w:r>
          </w:p>
        </w:tc>
      </w:tr>
      <w:tr>
        <w:trPr/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11</w:t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Лутфрахманов Ренат Юлаевич</w:t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Отсутствует</w:t>
            </w:r>
          </w:p>
        </w:tc>
      </w:tr>
      <w:tr>
        <w:trPr/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Назмутдинов Талгат Ришатович</w:t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Отсутствует</w:t>
            </w:r>
          </w:p>
        </w:tc>
      </w:tr>
    </w:tbl>
    <w:p>
      <w:pPr>
        <w:pStyle w:val="676"/>
        <w:keepNext w:val="true"/>
        <w:widowControl w:val="false"/>
        <w:numPr>
          <w:ilvl w:val="0"/>
          <w:numId w:val="24"/>
        </w:numPr>
        <w:pBdr/>
        <w:spacing w:after="0" w:before="60" w:line="240" w:lineRule="auto"/>
        <w:ind/>
        <w:rPr>
          <w:rFonts w:eastAsia="Times New Roman" w:asciiTheme="minorHAnsi" w:hAnsiTheme="minorHAnsi" w:cstheme="minorHAnsi"/>
          <w:lang w:eastAsia="ru-RU"/>
        </w:rPr>
      </w:pPr>
      <w:r>
        <w:rPr>
          <w:rFonts w:asciiTheme="minorHAnsi" w:hAnsiTheme="minorHAnsi" w:cstheme="minorHAnsi"/>
        </w:rPr>
        <w:t xml:space="preserve">На основании </w:t>
      </w:r>
      <w:r>
        <w:rPr>
          <w:rFonts w:asciiTheme="minorHAnsi" w:hAnsiTheme="minorHAnsi" w:cstheme="minorHAnsi"/>
        </w:rPr>
        <w:t xml:space="preserve">п.2 ч.11 ст.48 </w:t>
      </w:r>
      <w:r>
        <w:rPr>
          <w:rFonts w:asciiTheme="minorHAnsi" w:hAnsiTheme="minorHAnsi" w:cstheme="minorHAnsi"/>
        </w:rPr>
        <w:t xml:space="preserve">Федерального закона № 44-ФЗ настоящий </w:t>
      </w:r>
      <w:r>
        <w:rPr>
          <w:rFonts w:asciiTheme="minorHAnsi" w:hAnsiTheme="minorHAnsi" w:cstheme="minorHAnsi"/>
        </w:rPr>
        <w:t xml:space="preserve">протокол </w:t>
      </w:r>
      <w:r>
        <w:rPr>
          <w:rFonts w:asciiTheme="minorHAnsi" w:hAnsiTheme="minorHAnsi" w:cstheme="minorHAnsi"/>
          <w:bCs/>
        </w:rPr>
        <w:t xml:space="preserve">рассмотрения и оценки вторых частей заявок на участие в электронном конкурсе</w:t>
      </w:r>
      <w:r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 xml:space="preserve">сформирован </w:t>
      </w:r>
      <w:r>
        <w:rPr>
          <w:rFonts w:asciiTheme="minorHAnsi" w:hAnsiTheme="minorHAnsi" w:cstheme="minorHAnsi"/>
        </w:rPr>
        <w:t xml:space="preserve">Уполномоченным учреждением</w:t>
      </w:r>
      <w:bookmarkStart w:id="0" w:name="_GoBack"/>
      <w:r/>
      <w:bookmarkEnd w:id="0"/>
      <w:r>
        <w:rPr>
          <w:rFonts w:asciiTheme="minorHAnsi" w:hAnsiTheme="minorHAnsi" w:cstheme="minorHAnsi"/>
        </w:rPr>
        <w:t xml:space="preserve"> с использованием электронной пло</w:t>
      </w:r>
      <w:r>
        <w:rPr>
          <w:rFonts w:asciiTheme="minorHAnsi" w:hAnsiTheme="minorHAnsi" w:cstheme="minorHAnsi"/>
        </w:rPr>
        <w:t xml:space="preserve">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</w:t>
      </w:r>
      <w:r>
        <w:rPr>
          <w:rFonts w:asciiTheme="minorHAnsi" w:hAnsiTheme="minorHAnsi" w:cstheme="minorHAnsi"/>
        </w:rPr>
        <w:t xml:space="preserve">электронной торговой площадки «Фабрикант»</w:t>
      </w:r>
      <w:r>
        <w:rPr>
          <w:rFonts w:asciiTheme="minorHAnsi" w:hAnsiTheme="minorHAnsi" w:cstheme="minorHAnsi"/>
        </w:rPr>
        <w:t xml:space="preserve"> по адресу в сети «Интернет»: http://www.etp-ets.ru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 w:asciiTheme="minorHAnsi" w:hAnsiTheme="minorHAnsi" w:cstheme="minorHAnsi"/>
          <w:lang w:eastAsia="ru-RU"/>
        </w:rPr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УПРАВЛЕНИЕ ДОРОЖНОГО ХОЗЯЙСТВА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Лутфрахманов Ренат Юлаевич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72:52:67:37:0F:6E:60:9D:A9:28:57:98:E2:90:DF:6D, действителен с 14.08.2025 05:23:26 по 07.11.2026 05:23:26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14.05.2026 14:32:01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УПРАВЛЕНИЕ ДОРОЖНОГО ХОЗЯЙСТВА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Назмутдинов Талгат Ришатович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00:EE:DE:46:5E:AD:38:5A:34:4E:0A:D6:82:89:6E:21:AC, действителен с 13.01.2026 07:39:01 по 08.04.2027 07:39:01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14.05.2026 14:32:33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БАШКОРТОСТАН "РЕСПУБЛИКАНСКИЙ ЦЕНТР ТОРГОВ"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Заякина Кристина Константиновна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00:DA:7D:38:76:03:4B:44:9A:37:4F:3F:A0:5F:5E:48:7C, действителен с 06.04.2026 10:53:04 по 30.06.2027 10:53:04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14.05.2026 14:37:39 МСК</w:t>
      </w:r>
    </w:p>
    <w:sectPr>
      <w:footnotePr/>
      <w:endnotePr/>
      <w:type w:val="nextPage"/>
      <w:pgSz w:h="16838" w:orient="portrait" w:w="11906"/>
      <w:pgMar w:top="1134" w:right="850" w:bottom="1134" w:left="993" w:header="708" w:footer="708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/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Calibri">
    <w:panose1 w:val="020F05020202040302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/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/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umStyleLink w:val="680"/>
    <w:lvl w:ilvl="0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1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</w:abstractNum>
  <w:abstractNum w:abstractNumId="1">
    <w:lvl w:ilvl="0">
      <w:isLgl w:val="false"/>
      <w:lvlJc w:val="left"/>
      <w:lvlText w:val="%1."/>
      <w:numFmt w:val="decimal"/>
      <w:pPr>
        <w:pBdr/>
        <w:spacing/>
        <w:ind w:hanging="360" w:left="360"/>
      </w:pPr>
      <w:rPr>
        <w:b w:val="0"/>
        <w:i w:val="0"/>
        <w:color w:val="auto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">
    <w:lvl w:ilvl="0">
      <w:isLgl w:val="false"/>
      <w:lvlJc w:val="left"/>
      <w:lvlText w:val="%1."/>
      <w:numFmt w:val="decimal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3">
    <w:lvl w:ilvl="0">
      <w:isLgl w:val="false"/>
      <w:lvlJc w:val="left"/>
      <w:lvlText w:val="%1."/>
      <w:numFmt w:val="decimal"/>
      <w:pPr>
        <w:pBdr/>
        <w:spacing/>
        <w:ind w:firstLine="3" w:left="357"/>
      </w:pPr>
      <w:rPr>
        <w:rFonts w:hint="default"/>
        <w:color w:val="auto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4">
    <w:numStyleLink w:val="678"/>
    <w:lvl w:ilvl="0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1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</w:abstractNum>
  <w:abstractNum w:abstractNumId="5">
    <w:numStyleLink w:val="680"/>
    <w:lvl w:ilvl="0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1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</w:abstractNum>
  <w:abstractNum w:abstractNumId="6">
    <w:lvl w:ilvl="0">
      <w:isLgl w:val="false"/>
      <w:lvlJc w:val="left"/>
      <w:lvlText w:val="%1."/>
      <w:numFmt w:val="decimal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7">
    <w:lvl w:ilvl="0">
      <w:isLgl w:val="false"/>
      <w:lvlJc w:val="left"/>
      <w:lvlText w:val="%1."/>
      <w:numFmt w:val="decimal"/>
      <w:pPr>
        <w:pBdr/>
        <w:spacing/>
        <w:ind w:hanging="360" w:left="720"/>
      </w:pPr>
      <w:rPr>
        <w:b w:val="0"/>
        <w:i w:val="0"/>
        <w:color w:val="auto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8">
    <w:styleLink w:val="678"/>
    <w:lvl w:ilvl="0">
      <w:isLgl w:val="false"/>
      <w:lvlJc w:val="left"/>
      <w:lvlText w:val="%1."/>
      <w:numFmt w:val="decimal"/>
      <w:pPr>
        <w:pBdr/>
        <w:spacing/>
        <w:ind w:firstLine="3" w:left="357"/>
      </w:pPr>
      <w:pStyle w:val="678"/>
      <w:rPr>
        <w:rFonts w:hint="default"/>
        <w:color w:val="auto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>
        <w:rFonts w:hint="default"/>
      </w:rPr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>
        <w:rFonts w:hint="default"/>
      </w:rPr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>
        <w:rFonts w:hint="default"/>
      </w:rPr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>
        <w:rFonts w:hint="default"/>
      </w:rPr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>
        <w:rFonts w:hint="default"/>
      </w:rPr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>
        <w:rFonts w:hint="default"/>
      </w:rPr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>
        <w:rFonts w:hint="default"/>
      </w:rPr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>
        <w:rFonts w:hint="default"/>
      </w:rPr>
      <w:start w:val="1"/>
      <w:suff w:val="tab"/>
    </w:lvl>
  </w:abstractNum>
  <w:abstractNum w:abstractNumId="9">
    <w:numStyleLink w:val="680"/>
    <w:lvl w:ilvl="0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1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</w:abstractNum>
  <w:abstractNum w:abstractNumId="10">
    <w:lvl w:ilvl="0">
      <w:isLgl w:val="false"/>
      <w:lvlJc w:val="left"/>
      <w:lvlText w:val="%1."/>
      <w:numFmt w:val="decimal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11">
    <w:lvl w:ilvl="0">
      <w:isLgl w:val="false"/>
      <w:lvlJc w:val="left"/>
      <w:lvlText w:val="%1."/>
      <w:numFmt w:val="decimal"/>
      <w:pPr>
        <w:pBdr/>
        <w:spacing/>
        <w:ind w:hanging="360" w:left="360"/>
      </w:pPr>
      <w:rPr>
        <w:b w:val="0"/>
        <w:i w:val="0"/>
        <w:color w:val="000000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12">
    <w:numStyleLink w:val="678"/>
    <w:lvl w:ilvl="0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1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</w:abstractNum>
  <w:abstractNum w:abstractNumId="13">
    <w:lvl w:ilvl="0">
      <w:isLgl w:val="false"/>
      <w:lvlJc w:val="left"/>
      <w:lvlText w:val="%1."/>
      <w:numFmt w:val="decimal"/>
      <w:pPr>
        <w:pBdr/>
        <w:spacing/>
        <w:ind w:firstLine="3" w:left="357"/>
      </w:pPr>
      <w:rPr>
        <w:rFonts w:hint="default"/>
        <w:color w:val="auto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14">
    <w:lvl w:ilvl="0">
      <w:isLgl w:val="false"/>
      <w:lvlJc w:val="left"/>
      <w:lvlText w:val="%1."/>
      <w:numFmt w:val="decimal"/>
      <w:pPr>
        <w:pBdr/>
        <w:spacing/>
        <w:ind w:hanging="360" w:left="360"/>
      </w:pPr>
      <w:rPr>
        <w:rFonts w:hint="default"/>
        <w:color w:val="auto"/>
      </w:rPr>
      <w:start w:val="1"/>
      <w:suff w:val="tab"/>
    </w:lvl>
    <w:lvl w:ilvl="1">
      <w:isLgl w:val="false"/>
      <w:lvlJc w:val="left"/>
      <w:lvlText w:val="%2)"/>
      <w:numFmt w:val="lowerLetter"/>
      <w:pPr>
        <w:pBdr/>
        <w:spacing/>
        <w:ind w:hanging="360" w:left="720"/>
      </w:pPr>
      <w:rPr>
        <w:rFonts w:hint="default"/>
      </w:rPr>
      <w:start w:val="1"/>
      <w:suff w:val="tab"/>
    </w:lvl>
    <w:lvl w:ilvl="2">
      <w:isLgl w:val="false"/>
      <w:lvlJc w:val="left"/>
      <w:lvlText w:val="%3)"/>
      <w:numFmt w:val="lowerRoman"/>
      <w:pPr>
        <w:pBdr/>
        <w:spacing/>
        <w:ind w:hanging="360" w:left="1080"/>
      </w:pPr>
      <w:rPr>
        <w:rFonts w:hint="default"/>
      </w:rPr>
      <w:start w:val="1"/>
      <w:suff w:val="tab"/>
    </w:lvl>
    <w:lvl w:ilvl="3">
      <w:isLgl w:val="false"/>
      <w:lvlJc w:val="left"/>
      <w:lvlText w:val="(%4)"/>
      <w:numFmt w:val="decimal"/>
      <w:pPr>
        <w:pBdr/>
        <w:spacing/>
        <w:ind w:hanging="360" w:left="1440"/>
      </w:pPr>
      <w:rPr>
        <w:rFonts w:hint="default"/>
      </w:rPr>
      <w:start w:val="1"/>
      <w:suff w:val="tab"/>
    </w:lvl>
    <w:lvl w:ilvl="4">
      <w:isLgl w:val="false"/>
      <w:lvlJc w:val="left"/>
      <w:lvlText w:val="(%5)"/>
      <w:numFmt w:val="lowerLetter"/>
      <w:pPr>
        <w:pBdr/>
        <w:spacing/>
        <w:ind w:hanging="360" w:left="1800"/>
      </w:pPr>
      <w:rPr>
        <w:rFonts w:hint="default"/>
      </w:rPr>
      <w:start w:val="1"/>
      <w:suff w:val="tab"/>
    </w:lvl>
    <w:lvl w:ilvl="5">
      <w:isLgl w:val="false"/>
      <w:lvlJc w:val="left"/>
      <w:lvlText w:val="(%6)"/>
      <w:numFmt w:val="lowerRoman"/>
      <w:pPr>
        <w:pBdr/>
        <w:spacing/>
        <w:ind w:hanging="360" w:left="2160"/>
      </w:pPr>
      <w:rPr>
        <w:rFonts w:hint="default"/>
      </w:rPr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2520"/>
      </w:pPr>
      <w:rPr>
        <w:rFonts w:hint="default"/>
      </w:rPr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2880"/>
      </w:pPr>
      <w:rPr>
        <w:rFonts w:hint="default"/>
      </w:rPr>
      <w:start w:val="1"/>
      <w:suff w:val="tab"/>
    </w:lvl>
    <w:lvl w:ilvl="8">
      <w:isLgl w:val="false"/>
      <w:lvlJc w:val="left"/>
      <w:lvlText w:val="%9."/>
      <w:numFmt w:val="lowerRoman"/>
      <w:pPr>
        <w:pBdr/>
        <w:spacing/>
        <w:ind w:hanging="360" w:left="3240"/>
      </w:pPr>
      <w:rPr>
        <w:rFonts w:hint="default"/>
      </w:rPr>
      <w:start w:val="1"/>
      <w:suff w:val="tab"/>
    </w:lvl>
  </w:abstractNum>
  <w:abstractNum w:abstractNumId="15">
    <w:numStyleLink w:val="680"/>
    <w:lvl w:ilvl="0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1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</w:abstractNum>
  <w:abstractNum w:abstractNumId="16">
    <w:numStyleLink w:val="679"/>
    <w:lvl w:ilvl="0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1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</w:abstractNum>
  <w:abstractNum w:abstractNumId="17">
    <w:lvl w:ilvl="0">
      <w:isLgl w:val="false"/>
      <w:lvlJc w:val="left"/>
      <w:lvlText w:val="%1."/>
      <w:numFmt w:val="decimal"/>
      <w:pPr>
        <w:pBdr/>
        <w:spacing/>
        <w:ind w:hanging="360" w:left="720"/>
      </w:pPr>
      <w:rPr>
        <w:b w:val="0"/>
        <w:i w:val="0"/>
        <w:color w:val="auto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18">
    <w:lvl w:ilvl="0">
      <w:isLgl w:val="false"/>
      <w:lvlJc w:val="left"/>
      <w:lvlText w:val="%1."/>
      <w:numFmt w:val="decimal"/>
      <w:pPr>
        <w:pBdr/>
        <w:spacing/>
        <w:ind w:hanging="360" w:left="360"/>
      </w:pPr>
      <w:rPr>
        <w:b w:val="0"/>
        <w:i w:val="0"/>
        <w:color w:val="000000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19">
    <w:lvl w:ilvl="0">
      <w:isLgl w:val="false"/>
      <w:lvlJc w:val="left"/>
      <w:lvlText/>
      <w:numFmt w:val="none"/>
      <w:pPr>
        <w:pBdr/>
        <w:tabs>
          <w:tab w:val="num" w:leader="none" w:pos="360"/>
        </w:tabs>
        <w:spacing/>
        <w:ind w:firstLine="0" w:left="0"/>
      </w:pPr>
      <w:rPr/>
      <w:start w:val="0"/>
      <w:suff w:val="tab"/>
    </w:lvl>
    <w:lvl w:ilvl="1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</w:abstractNum>
  <w:abstractNum w:abstractNumId="20">
    <w:lvl w:ilvl="0">
      <w:isLgl w:val="false"/>
      <w:lvlJc w:val="left"/>
      <w:lvlText w:val="%1."/>
      <w:numFmt w:val="decimal"/>
      <w:pPr>
        <w:pBdr/>
        <w:spacing/>
        <w:ind w:firstLine="3" w:left="357"/>
      </w:pPr>
      <w:rPr>
        <w:rFonts w:hint="default"/>
        <w:color w:val="auto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1">
    <w:styleLink w:val="680"/>
    <w:lvl w:ilvl="0">
      <w:isLgl w:val="false"/>
      <w:lvlJc w:val="left"/>
      <w:lvlText w:val="%1."/>
      <w:numFmt w:val="decimal"/>
      <w:pPr>
        <w:pBdr/>
        <w:spacing/>
        <w:ind w:hanging="357" w:left="357"/>
      </w:pPr>
      <w:pStyle w:val="680"/>
      <w:rPr>
        <w:rFonts w:hint="default"/>
        <w:color w:val="auto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>
        <w:rFonts w:hint="default"/>
      </w:rPr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>
        <w:rFonts w:hint="default"/>
      </w:rPr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>
        <w:rFonts w:hint="default"/>
      </w:rPr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>
        <w:rFonts w:hint="default"/>
      </w:rPr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>
        <w:rFonts w:hint="default"/>
      </w:rPr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>
        <w:rFonts w:hint="default"/>
      </w:rPr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>
        <w:rFonts w:hint="default"/>
      </w:rPr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>
        <w:rFonts w:hint="default"/>
      </w:rPr>
      <w:start w:val="1"/>
      <w:suff w:val="tab"/>
    </w:lvl>
  </w:abstractNum>
  <w:abstractNum w:abstractNumId="22">
    <w:lvl w:ilvl="0">
      <w:isLgl w:val="false"/>
      <w:lvlJc w:val="left"/>
      <w:lvlText w:val="%1."/>
      <w:numFmt w:val="decimal"/>
      <w:pPr>
        <w:pBdr/>
        <w:spacing/>
        <w:ind w:firstLine="3" w:left="357"/>
      </w:pPr>
      <w:rPr>
        <w:rFonts w:hint="default"/>
        <w:color w:val="auto"/>
      </w:rPr>
      <w:start w:val="1"/>
      <w:suff w:val="tab"/>
    </w:lvl>
    <w:lvl w:ilvl="1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</w:abstractNum>
  <w:abstractNum w:abstractNumId="23">
    <w:numStyleLink w:val="680"/>
    <w:lvl w:ilvl="0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1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</w:abstractNum>
  <w:abstractNum w:abstractNumId="24">
    <w:lvl w:ilvl="0">
      <w:isLgl w:val="false"/>
      <w:lvlJc w:val="left"/>
      <w:lvlText w:val="%1."/>
      <w:numFmt w:val="decimal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5">
    <w:styleLink w:val="679"/>
    <w:lvl w:ilvl="0">
      <w:isLgl w:val="false"/>
      <w:lvlJc w:val="left"/>
      <w:lvlText w:val="%1."/>
      <w:numFmt w:val="decimal"/>
      <w:pPr>
        <w:pBdr/>
        <w:spacing/>
        <w:ind w:firstLine="3" w:left="357"/>
      </w:pPr>
      <w:pStyle w:val="679"/>
      <w:rPr>
        <w:rFonts w:hint="default"/>
        <w:color w:val="auto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>
        <w:rFonts w:hint="default"/>
      </w:rPr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>
        <w:rFonts w:hint="default"/>
      </w:rPr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>
        <w:rFonts w:hint="default"/>
      </w:rPr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>
        <w:rFonts w:hint="default"/>
      </w:rPr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>
        <w:rFonts w:hint="default"/>
      </w:rPr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>
        <w:rFonts w:hint="default"/>
      </w:rPr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>
        <w:rFonts w:hint="default"/>
      </w:rPr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>
        <w:rFonts w:hint="default"/>
      </w:rPr>
      <w:start w:val="1"/>
      <w:suff w:val="tab"/>
    </w:lvl>
  </w:abstractNum>
  <w:num w:numId="1">
    <w:abstractNumId w:val="19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8"/>
  </w:num>
  <w:num w:numId="6">
    <w:abstractNumId w:val="11"/>
  </w:num>
  <w:num w:numId="7">
    <w:abstractNumId w:val="14"/>
  </w:num>
  <w:num w:numId="8">
    <w:abstractNumId w:val="1"/>
  </w:num>
  <w:num w:numId="9">
    <w:abstractNumId w:val="24"/>
  </w:num>
  <w:num w:numId="10">
    <w:abstractNumId w:val="13"/>
  </w:num>
  <w:num w:numId="11">
    <w:abstractNumId w:val="6"/>
  </w:num>
  <w:num w:numId="12">
    <w:abstractNumId w:val="10"/>
  </w:num>
  <w:num w:numId="13">
    <w:abstractNumId w:val="2"/>
  </w:num>
  <w:num w:numId="14">
    <w:abstractNumId w:val="8"/>
  </w:num>
  <w:num w:numId="15">
    <w:abstractNumId w:val="4"/>
  </w:num>
  <w:num w:numId="16">
    <w:abstractNumId w:val="12"/>
    <w:lvlOverride w:ilvl="0">
      <w:lvl w:ilvl="0">
        <w:isLgl w:val="false"/>
        <w:lvlJc w:val="left"/>
        <w:lvlText w:val="%1."/>
        <w:numFmt w:val="decimal"/>
        <w:pPr>
          <w:pBdr/>
          <w:spacing/>
          <w:ind w:firstLine="3" w:left="357"/>
        </w:pPr>
        <w:rPr>
          <w:rFonts w:hint="default"/>
          <w:color w:val="auto"/>
        </w:rPr>
        <w:start w:val="1"/>
        <w:suff w:val="tab"/>
      </w:lvl>
    </w:lvlOverride>
  </w:num>
  <w:num w:numId="17">
    <w:abstractNumId w:val="3"/>
  </w:num>
  <w:num w:numId="18">
    <w:abstractNumId w:val="20"/>
  </w:num>
  <w:num w:numId="19">
    <w:abstractNumId w:val="25"/>
  </w:num>
  <w:num w:numId="20">
    <w:abstractNumId w:val="16"/>
  </w:num>
  <w:num w:numId="21">
    <w:abstractNumId w:val="22"/>
  </w:num>
  <w:num w:numId="22">
    <w:abstractNumId w:val="21"/>
  </w:num>
  <w:num w:numId="23">
    <w:abstractNumId w:val="23"/>
  </w:num>
  <w:num w:numId="24">
    <w:abstractNumId w:val="15"/>
  </w:num>
  <w:num w:numId="25">
    <w:abstractNumId w:val="5"/>
  </w:num>
  <w:num w:numId="26">
    <w:abstractNumId w:val="9"/>
  </w:num>
  <w:num w:numId="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pBdr/>
        <w:spacing w:after="200" w:afterAutospacing="0" w:before="0" w:beforeAutospacing="0" w:line="276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13">
    <w:name w:val="Heading 1"/>
    <w:basedOn w:val="670"/>
    <w:next w:val="670"/>
    <w:link w:val="14"/>
    <w:uiPriority w:val="9"/>
    <w:qFormat/>
    <w:pPr>
      <w:keepNext w:val="true"/>
      <w:keepLines w:val="true"/>
      <w:pBdr/>
      <w:spacing w:after="200" w:before="480"/>
      <w:ind/>
      <w:outlineLvl w:val="0"/>
    </w:pPr>
    <w:rPr>
      <w:rFonts w:ascii="Arial" w:hAnsi="Arial" w:eastAsia="Arial" w:cs="Arial"/>
      <w:sz w:val="40"/>
      <w:szCs w:val="40"/>
    </w:rPr>
  </w:style>
  <w:style w:type="character" w:styleId="14">
    <w:name w:val="Heading 1 Char"/>
    <w:basedOn w:val="671"/>
    <w:link w:val="13"/>
    <w:uiPriority w:val="9"/>
    <w:pPr>
      <w:pBdr/>
      <w:spacing/>
      <w:ind/>
    </w:pPr>
    <w:rPr>
      <w:rFonts w:ascii="Arial" w:hAnsi="Arial" w:eastAsia="Arial" w:cs="Arial"/>
      <w:sz w:val="40"/>
      <w:szCs w:val="40"/>
    </w:rPr>
  </w:style>
  <w:style w:type="paragraph" w:styleId="15">
    <w:name w:val="Heading 2"/>
    <w:basedOn w:val="670"/>
    <w:next w:val="670"/>
    <w:link w:val="16"/>
    <w:uiPriority w:val="9"/>
    <w:unhideWhenUsed/>
    <w:qFormat/>
    <w:pPr>
      <w:keepNext w:val="true"/>
      <w:keepLines w:val="true"/>
      <w:pBdr/>
      <w:spacing w:after="200" w:before="360"/>
      <w:ind/>
      <w:outlineLvl w:val="1"/>
    </w:pPr>
    <w:rPr>
      <w:rFonts w:ascii="Arial" w:hAnsi="Arial" w:eastAsia="Arial" w:cs="Arial"/>
      <w:sz w:val="34"/>
    </w:rPr>
  </w:style>
  <w:style w:type="character" w:styleId="16">
    <w:name w:val="Heading 2 Char"/>
    <w:basedOn w:val="671"/>
    <w:link w:val="15"/>
    <w:uiPriority w:val="9"/>
    <w:pPr>
      <w:pBdr/>
      <w:spacing/>
      <w:ind/>
    </w:pPr>
    <w:rPr>
      <w:rFonts w:ascii="Arial" w:hAnsi="Arial" w:eastAsia="Arial" w:cs="Arial"/>
      <w:sz w:val="34"/>
    </w:rPr>
  </w:style>
  <w:style w:type="paragraph" w:styleId="17">
    <w:name w:val="Heading 3"/>
    <w:basedOn w:val="670"/>
    <w:next w:val="670"/>
    <w:link w:val="18"/>
    <w:uiPriority w:val="9"/>
    <w:unhideWhenUsed/>
    <w:qFormat/>
    <w:pPr>
      <w:keepNext w:val="true"/>
      <w:keepLines w:val="true"/>
      <w:pBdr/>
      <w:spacing w:after="200" w:before="320"/>
      <w:ind/>
      <w:outlineLvl w:val="2"/>
    </w:pPr>
    <w:rPr>
      <w:rFonts w:ascii="Arial" w:hAnsi="Arial" w:eastAsia="Arial" w:cs="Arial"/>
      <w:sz w:val="30"/>
      <w:szCs w:val="30"/>
    </w:rPr>
  </w:style>
  <w:style w:type="character" w:styleId="18">
    <w:name w:val="Heading 3 Char"/>
    <w:basedOn w:val="671"/>
    <w:link w:val="17"/>
    <w:uiPriority w:val="9"/>
    <w:pPr>
      <w:pBdr/>
      <w:spacing/>
      <w:ind/>
    </w:pPr>
    <w:rPr>
      <w:rFonts w:ascii="Arial" w:hAnsi="Arial" w:eastAsia="Arial" w:cs="Arial"/>
      <w:sz w:val="30"/>
      <w:szCs w:val="30"/>
    </w:rPr>
  </w:style>
  <w:style w:type="paragraph" w:styleId="19">
    <w:name w:val="Heading 4"/>
    <w:basedOn w:val="670"/>
    <w:next w:val="670"/>
    <w:link w:val="20"/>
    <w:uiPriority w:val="9"/>
    <w:unhideWhenUsed/>
    <w:qFormat/>
    <w:pPr>
      <w:keepNext w:val="true"/>
      <w:keepLines w:val="true"/>
      <w:pBdr/>
      <w:spacing w:after="200" w:before="320"/>
      <w:ind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20">
    <w:name w:val="Heading 4 Char"/>
    <w:basedOn w:val="671"/>
    <w:link w:val="19"/>
    <w:uiPriority w:val="9"/>
    <w:pPr>
      <w:pBdr/>
      <w:spacing/>
      <w:ind/>
    </w:pPr>
    <w:rPr>
      <w:rFonts w:ascii="Arial" w:hAnsi="Arial" w:eastAsia="Arial" w:cs="Arial"/>
      <w:b/>
      <w:bCs/>
      <w:sz w:val="26"/>
      <w:szCs w:val="26"/>
    </w:rPr>
  </w:style>
  <w:style w:type="paragraph" w:styleId="21">
    <w:name w:val="Heading 5"/>
    <w:basedOn w:val="670"/>
    <w:next w:val="670"/>
    <w:link w:val="22"/>
    <w:uiPriority w:val="9"/>
    <w:unhideWhenUsed/>
    <w:qFormat/>
    <w:pPr>
      <w:keepNext w:val="true"/>
      <w:keepLines w:val="true"/>
      <w:pBdr/>
      <w:spacing w:after="200" w:before="320"/>
      <w:ind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22">
    <w:name w:val="Heading 5 Char"/>
    <w:basedOn w:val="671"/>
    <w:link w:val="21"/>
    <w:uiPriority w:val="9"/>
    <w:pPr>
      <w:pBdr/>
      <w:spacing/>
      <w:ind/>
    </w:pPr>
    <w:rPr>
      <w:rFonts w:ascii="Arial" w:hAnsi="Arial" w:eastAsia="Arial" w:cs="Arial"/>
      <w:b/>
      <w:bCs/>
      <w:sz w:val="24"/>
      <w:szCs w:val="24"/>
    </w:rPr>
  </w:style>
  <w:style w:type="paragraph" w:styleId="23">
    <w:name w:val="Heading 6"/>
    <w:basedOn w:val="670"/>
    <w:next w:val="670"/>
    <w:link w:val="24"/>
    <w:uiPriority w:val="9"/>
    <w:unhideWhenUsed/>
    <w:qFormat/>
    <w:pPr>
      <w:keepNext w:val="true"/>
      <w:keepLines w:val="true"/>
      <w:pBdr/>
      <w:spacing w:after="200" w:before="320"/>
      <w:ind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24">
    <w:name w:val="Heading 6 Char"/>
    <w:basedOn w:val="671"/>
    <w:link w:val="23"/>
    <w:uiPriority w:val="9"/>
    <w:pPr>
      <w:pBdr/>
      <w:spacing/>
      <w:ind/>
    </w:pPr>
    <w:rPr>
      <w:rFonts w:ascii="Arial" w:hAnsi="Arial" w:eastAsia="Arial" w:cs="Arial"/>
      <w:b/>
      <w:bCs/>
      <w:sz w:val="22"/>
      <w:szCs w:val="22"/>
    </w:rPr>
  </w:style>
  <w:style w:type="paragraph" w:styleId="25">
    <w:name w:val="Heading 7"/>
    <w:basedOn w:val="670"/>
    <w:next w:val="670"/>
    <w:link w:val="26"/>
    <w:uiPriority w:val="9"/>
    <w:unhideWhenUsed/>
    <w:qFormat/>
    <w:pPr>
      <w:keepNext w:val="true"/>
      <w:keepLines w:val="true"/>
      <w:pBdr/>
      <w:spacing w:after="200" w:before="320"/>
      <w:ind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26">
    <w:name w:val="Heading 7 Char"/>
    <w:basedOn w:val="671"/>
    <w:link w:val="25"/>
    <w:uiPriority w:val="9"/>
    <w:pPr>
      <w:pBdr/>
      <w:spacing/>
      <w:ind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27">
    <w:name w:val="Heading 8"/>
    <w:basedOn w:val="670"/>
    <w:next w:val="670"/>
    <w:link w:val="28"/>
    <w:uiPriority w:val="9"/>
    <w:unhideWhenUsed/>
    <w:qFormat/>
    <w:pPr>
      <w:keepNext w:val="true"/>
      <w:keepLines w:val="true"/>
      <w:pBdr/>
      <w:spacing w:after="200" w:before="320"/>
      <w:ind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28">
    <w:name w:val="Heading 8 Char"/>
    <w:basedOn w:val="671"/>
    <w:link w:val="27"/>
    <w:uiPriority w:val="9"/>
    <w:pPr>
      <w:pBdr/>
      <w:spacing/>
      <w:ind/>
    </w:pPr>
    <w:rPr>
      <w:rFonts w:ascii="Arial" w:hAnsi="Arial" w:eastAsia="Arial" w:cs="Arial"/>
      <w:i/>
      <w:iCs/>
      <w:sz w:val="22"/>
      <w:szCs w:val="22"/>
    </w:rPr>
  </w:style>
  <w:style w:type="paragraph" w:styleId="29">
    <w:name w:val="Heading 9"/>
    <w:basedOn w:val="670"/>
    <w:next w:val="670"/>
    <w:link w:val="30"/>
    <w:uiPriority w:val="9"/>
    <w:unhideWhenUsed/>
    <w:qFormat/>
    <w:pPr>
      <w:keepNext w:val="true"/>
      <w:keepLines w:val="true"/>
      <w:pBdr/>
      <w:spacing w:after="200" w:before="320"/>
      <w:ind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30">
    <w:name w:val="Heading 9 Char"/>
    <w:basedOn w:val="671"/>
    <w:link w:val="29"/>
    <w:uiPriority w:val="9"/>
    <w:pPr>
      <w:pBdr/>
      <w:spacing/>
      <w:ind/>
    </w:pPr>
    <w:rPr>
      <w:rFonts w:ascii="Arial" w:hAnsi="Arial" w:eastAsia="Arial" w:cs="Arial"/>
      <w:i/>
      <w:iCs/>
      <w:sz w:val="21"/>
      <w:szCs w:val="21"/>
    </w:rPr>
  </w:style>
  <w:style w:type="paragraph" w:styleId="34">
    <w:name w:val="Title"/>
    <w:basedOn w:val="670"/>
    <w:next w:val="670"/>
    <w:link w:val="35"/>
    <w:uiPriority w:val="10"/>
    <w:qFormat/>
    <w:pPr>
      <w:pBdr/>
      <w:spacing w:after="200" w:before="300"/>
      <w:ind/>
      <w:contextualSpacing w:val="true"/>
    </w:pPr>
    <w:rPr>
      <w:sz w:val="48"/>
      <w:szCs w:val="48"/>
    </w:rPr>
  </w:style>
  <w:style w:type="character" w:styleId="35">
    <w:name w:val="Title Char"/>
    <w:basedOn w:val="671"/>
    <w:link w:val="34"/>
    <w:uiPriority w:val="10"/>
    <w:pPr>
      <w:pBdr/>
      <w:spacing/>
      <w:ind/>
    </w:pPr>
    <w:rPr>
      <w:sz w:val="48"/>
      <w:szCs w:val="48"/>
    </w:rPr>
  </w:style>
  <w:style w:type="paragraph" w:styleId="36">
    <w:name w:val="Subtitle"/>
    <w:basedOn w:val="670"/>
    <w:next w:val="670"/>
    <w:link w:val="37"/>
    <w:uiPriority w:val="11"/>
    <w:qFormat/>
    <w:pPr>
      <w:pBdr/>
      <w:spacing w:after="200" w:before="200"/>
      <w:ind/>
    </w:pPr>
    <w:rPr>
      <w:sz w:val="24"/>
      <w:szCs w:val="24"/>
    </w:rPr>
  </w:style>
  <w:style w:type="character" w:styleId="37">
    <w:name w:val="Subtitle Char"/>
    <w:basedOn w:val="671"/>
    <w:link w:val="36"/>
    <w:uiPriority w:val="11"/>
    <w:pPr>
      <w:pBdr/>
      <w:spacing/>
      <w:ind/>
    </w:pPr>
    <w:rPr>
      <w:sz w:val="24"/>
      <w:szCs w:val="24"/>
    </w:rPr>
  </w:style>
  <w:style w:type="paragraph" w:styleId="38">
    <w:name w:val="Quote"/>
    <w:basedOn w:val="670"/>
    <w:next w:val="670"/>
    <w:link w:val="39"/>
    <w:uiPriority w:val="29"/>
    <w:qFormat/>
    <w:pPr>
      <w:pBdr/>
      <w:spacing/>
      <w:ind w:right="720" w:left="720"/>
    </w:pPr>
    <w:rPr>
      <w:i/>
    </w:rPr>
  </w:style>
  <w:style w:type="character" w:styleId="39">
    <w:name w:val="Quote Char"/>
    <w:link w:val="38"/>
    <w:uiPriority w:val="29"/>
    <w:pPr>
      <w:pBdr/>
      <w:spacing/>
      <w:ind/>
    </w:pPr>
    <w:rPr>
      <w:i/>
    </w:rPr>
  </w:style>
  <w:style w:type="paragraph" w:styleId="40">
    <w:name w:val="Intense Quote"/>
    <w:basedOn w:val="670"/>
    <w:next w:val="670"/>
    <w:link w:val="41"/>
    <w:uiPriority w:val="30"/>
    <w:qFormat/>
    <w:pPr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  <w:shd w:val="clear" w:color="auto" w:fill="f2f2f2"/>
      <w:spacing/>
      <w:ind w:right="720" w:left="720"/>
      <w:contextualSpacing w:val="false"/>
    </w:pPr>
    <w:rPr>
      <w:i/>
    </w:rPr>
  </w:style>
  <w:style w:type="character" w:styleId="41">
    <w:name w:val="Intense Quote Char"/>
    <w:link w:val="40"/>
    <w:uiPriority w:val="30"/>
    <w:pPr>
      <w:pBdr/>
      <w:spacing/>
      <w:ind/>
    </w:pPr>
    <w:rPr>
      <w:i/>
    </w:rPr>
  </w:style>
  <w:style w:type="paragraph" w:styleId="42">
    <w:name w:val="Header"/>
    <w:basedOn w:val="670"/>
    <w:link w:val="43"/>
    <w:uiPriority w:val="99"/>
    <w:unhideWhenUsed/>
    <w:pPr>
      <w:pBdr/>
      <w:tabs>
        <w:tab w:val="center" w:leader="none" w:pos="7143"/>
        <w:tab w:val="right" w:leader="none" w:pos="14287"/>
      </w:tabs>
      <w:spacing w:after="0" w:line="240" w:lineRule="auto"/>
      <w:ind/>
    </w:pPr>
  </w:style>
  <w:style w:type="character" w:styleId="43">
    <w:name w:val="Header Char"/>
    <w:basedOn w:val="671"/>
    <w:link w:val="42"/>
    <w:uiPriority w:val="99"/>
    <w:pPr>
      <w:pBdr/>
      <w:spacing/>
      <w:ind/>
    </w:pPr>
  </w:style>
  <w:style w:type="paragraph" w:styleId="44">
    <w:name w:val="Footer"/>
    <w:basedOn w:val="670"/>
    <w:link w:val="47"/>
    <w:uiPriority w:val="99"/>
    <w:unhideWhenUsed/>
    <w:pPr>
      <w:pBdr/>
      <w:tabs>
        <w:tab w:val="center" w:leader="none" w:pos="7143"/>
        <w:tab w:val="right" w:leader="none" w:pos="14287"/>
      </w:tabs>
      <w:spacing w:after="0" w:line="240" w:lineRule="auto"/>
      <w:ind/>
    </w:pPr>
  </w:style>
  <w:style w:type="character" w:styleId="45">
    <w:name w:val="Footer Char"/>
    <w:basedOn w:val="671"/>
    <w:link w:val="44"/>
    <w:uiPriority w:val="99"/>
    <w:pPr>
      <w:pBdr/>
      <w:spacing/>
      <w:ind/>
    </w:pPr>
  </w:style>
  <w:style w:type="paragraph" w:styleId="46">
    <w:name w:val="Caption"/>
    <w:basedOn w:val="670"/>
    <w:next w:val="670"/>
    <w:uiPriority w:val="35"/>
    <w:semiHidden/>
    <w:unhideWhenUsed/>
    <w:qFormat/>
    <w:pPr>
      <w:pBdr/>
      <w:spacing w:line="276" w:lineRule="auto"/>
      <w:ind/>
    </w:pPr>
    <w:rPr>
      <w:b/>
      <w:bCs/>
      <w:color w:val="4f81bd" w:themeColor="accent1"/>
      <w:sz w:val="18"/>
      <w:szCs w:val="18"/>
    </w:rPr>
  </w:style>
  <w:style w:type="character" w:styleId="47">
    <w:name w:val="Caption Char"/>
    <w:basedOn w:val="46"/>
    <w:link w:val="44"/>
    <w:uiPriority w:val="99"/>
    <w:pPr>
      <w:pBdr/>
      <w:spacing/>
      <w:ind/>
    </w:pPr>
  </w:style>
  <w:style w:type="table" w:styleId="49">
    <w:name w:val="Table Grid Light"/>
    <w:basedOn w:val="672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0">
    <w:name w:val="Plain Table 1"/>
    <w:basedOn w:val="672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1">
    <w:name w:val="Plain Table 2"/>
    <w:basedOn w:val="672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2">
    <w:name w:val="Plain Table 3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3">
    <w:name w:val="Plain Table 4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4">
    <w:name w:val="Plain Table 5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5">
    <w:name w:val="Grid Table 1 Light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6">
    <w:name w:val="Grid Table 1 Light - Accent 1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7">
    <w:name w:val="Grid Table 1 Light - Accent 2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8">
    <w:name w:val="Grid Table 1 Light - Accent 3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9">
    <w:name w:val="Grid Table 1 Light - Accent 4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0">
    <w:name w:val="Grid Table 1 Light - Accent 5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1">
    <w:name w:val="Grid Table 1 Light - Accent 6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2">
    <w:name w:val="Grid Table 2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3">
    <w:name w:val="Grid Table 2 - Accent 1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4">
    <w:name w:val="Grid Table 2 - Accent 2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5">
    <w:name w:val="Grid Table 2 - Accent 3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">
    <w:name w:val="Grid Table 2 - Accent 4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">
    <w:name w:val="Grid Table 2 - Accent 5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">
    <w:name w:val="Grid Table 2 - Accent 6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">
    <w:name w:val="Grid Table 3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">
    <w:name w:val="Grid Table 3 - Accent 1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">
    <w:name w:val="Grid Table 3 - Accent 2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">
    <w:name w:val="Grid Table 3 - Accent 3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">
    <w:name w:val="Grid Table 3 - Accent 4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">
    <w:name w:val="Grid Table 3 - Accent 5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">
    <w:name w:val="Grid Table 3 - Accent 6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">
    <w:name w:val="Grid Table 4"/>
    <w:basedOn w:val="67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">
    <w:name w:val="Grid Table 4 - Accent 1"/>
    <w:basedOn w:val="67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">
    <w:name w:val="Grid Table 4 - Accent 2"/>
    <w:basedOn w:val="67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">
    <w:name w:val="Grid Table 4 - Accent 3"/>
    <w:basedOn w:val="67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">
    <w:name w:val="Grid Table 4 - Accent 4"/>
    <w:basedOn w:val="67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">
    <w:name w:val="Grid Table 4 - Accent 5"/>
    <w:basedOn w:val="67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">
    <w:name w:val="Grid Table 4 - Accent 6"/>
    <w:basedOn w:val="67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">
    <w:name w:val="Grid Table 5 Dark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">
    <w:name w:val="Grid Table 5 Dark- Accent 1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">
    <w:name w:val="Grid Table 5 Dark - Accent 2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">
    <w:name w:val="Grid Table 5 Dark - Accent 3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">
    <w:name w:val="Grid Table 5 Dark- Accent 4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">
    <w:name w:val="Grid Table 5 Dark - Accent 5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">
    <w:name w:val="Grid Table 5 Dark - Accent 6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">
    <w:name w:val="Grid Table 6 Colorful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1">
    <w:name w:val="Grid Table 6 Colorful - Accent 1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2">
    <w:name w:val="Grid Table 6 Colorful - Accent 2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3">
    <w:name w:val="Grid Table 6 Colorful - Accent 3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4">
    <w:name w:val="Grid Table 6 Colorful - Accent 4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5">
    <w:name w:val="Grid Table 6 Colorful - Accent 5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">
    <w:name w:val="Grid Table 6 Colorful - Accent 6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">
    <w:name w:val="Grid Table 7 Colorful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">
    <w:name w:val="Grid Table 7 Colorful - Accent 1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">
    <w:name w:val="Grid Table 7 Colorful - Accent 2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">
    <w:name w:val="Grid Table 7 Colorful - Accent 3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">
    <w:name w:val="Grid Table 7 Colorful - Accent 4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2">
    <w:name w:val="Grid Table 7 Colorful - Accent 5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3">
    <w:name w:val="Grid Table 7 Colorful - Accent 6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">
    <w:name w:val="List Table 1 Light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">
    <w:name w:val="List Table 1 Light - Accent 1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">
    <w:name w:val="List Table 1 Light - Accent 2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">
    <w:name w:val="List Table 1 Light - Accent 3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">
    <w:name w:val="List Table 1 Light - Accent 4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9">
    <w:name w:val="List Table 1 Light - Accent 5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0">
    <w:name w:val="List Table 1 Light - Accent 6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1">
    <w:name w:val="List Table 2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2">
    <w:name w:val="List Table 2 - Accent 1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3">
    <w:name w:val="List Table 2 - Accent 2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4">
    <w:name w:val="List Table 2 - Accent 3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5">
    <w:name w:val="List Table 2 - Accent 4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6">
    <w:name w:val="List Table 2 - Accent 5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7">
    <w:name w:val="List Table 2 - Accent 6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8">
    <w:name w:val="List Table 3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9">
    <w:name w:val="List Table 3 - Accent 1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0">
    <w:name w:val="List Table 3 - Accent 2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1">
    <w:name w:val="List Table 3 - Accent 3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2">
    <w:name w:val="List Table 3 - Accent 4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3">
    <w:name w:val="List Table 3 - Accent 5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4">
    <w:name w:val="List Table 3 - Accent 6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5">
    <w:name w:val="List Table 4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6">
    <w:name w:val="List Table 4 - Accent 1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7">
    <w:name w:val="List Table 4 - Accent 2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8">
    <w:name w:val="List Table 4 - Accent 3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9">
    <w:name w:val="List Table 4 - Accent 4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0">
    <w:name w:val="List Table 4 - Accent 5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1">
    <w:name w:val="List Table 4 - Accent 6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2">
    <w:name w:val="List Table 5 Dark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33">
    <w:name w:val="List Table 5 Dark - Accent 1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34">
    <w:name w:val="List Table 5 Dark - Accent 2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35">
    <w:name w:val="List Table 5 Dark - Accent 3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36">
    <w:name w:val="List Table 5 Dark - Accent 4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37">
    <w:name w:val="List Table 5 Dark - Accent 5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38">
    <w:name w:val="List Table 5 Dark - Accent 6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39">
    <w:name w:val="List Table 6 Colorful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0">
    <w:name w:val="List Table 6 Colorful - Accent 1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1">
    <w:name w:val="List Table 6 Colorful - Accent 2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2">
    <w:name w:val="List Table 6 Colorful - Accent 3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3">
    <w:name w:val="List Table 6 Colorful - Accent 4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4">
    <w:name w:val="List Table 6 Colorful - Accent 5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5">
    <w:name w:val="List Table 6 Colorful - Accent 6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6">
    <w:name w:val="List Table 7 Colorful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47">
    <w:name w:val="List Table 7 Colorful - Accent 1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48">
    <w:name w:val="List Table 7 Colorful - Accent 2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49">
    <w:name w:val="List Table 7 Colorful - Accent 3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50">
    <w:name w:val="List Table 7 Colorful - Accent 4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51">
    <w:name w:val="List Table 7 Colorful - Accent 5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52">
    <w:name w:val="List Table 7 Colorful - Accent 6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53">
    <w:name w:val="Lined - Accent"/>
    <w:basedOn w:val="67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4">
    <w:name w:val="Lined - Accent 1"/>
    <w:basedOn w:val="67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5">
    <w:name w:val="Lined - Accent 2"/>
    <w:basedOn w:val="67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6">
    <w:name w:val="Lined - Accent 3"/>
    <w:basedOn w:val="67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7">
    <w:name w:val="Lined - Accent 4"/>
    <w:basedOn w:val="67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8">
    <w:name w:val="Lined - Accent 5"/>
    <w:basedOn w:val="67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9">
    <w:name w:val="Lined - Accent 6"/>
    <w:basedOn w:val="67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0">
    <w:name w:val="Bordered &amp; Lined - Accent"/>
    <w:basedOn w:val="67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1">
    <w:name w:val="Bordered &amp; Lined - Accent 1"/>
    <w:basedOn w:val="67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2">
    <w:name w:val="Bordered &amp; Lined - Accent 2"/>
    <w:basedOn w:val="67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3">
    <w:name w:val="Bordered &amp; Lined - Accent 3"/>
    <w:basedOn w:val="67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4">
    <w:name w:val="Bordered &amp; Lined - Accent 4"/>
    <w:basedOn w:val="67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5">
    <w:name w:val="Bordered &amp; Lined - Accent 5"/>
    <w:basedOn w:val="67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6">
    <w:name w:val="Bordered &amp; Lined - Accent 6"/>
    <w:basedOn w:val="67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7">
    <w:name w:val="Bordered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8">
    <w:name w:val="Bordered - Accent 1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9">
    <w:name w:val="Bordered - Accent 2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0">
    <w:name w:val="Bordered - Accent 3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1">
    <w:name w:val="Bordered - Accent 4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2">
    <w:name w:val="Bordered - Accent 5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3">
    <w:name w:val="Bordered - Accent 6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75">
    <w:name w:val="footnote text"/>
    <w:basedOn w:val="670"/>
    <w:link w:val="176"/>
    <w:uiPriority w:val="99"/>
    <w:semiHidden/>
    <w:unhideWhenUsed/>
    <w:pPr>
      <w:pBdr/>
      <w:spacing w:after="40" w:line="240" w:lineRule="auto"/>
      <w:ind/>
    </w:pPr>
    <w:rPr>
      <w:sz w:val="18"/>
    </w:rPr>
  </w:style>
  <w:style w:type="character" w:styleId="176">
    <w:name w:val="Footnote Text Char"/>
    <w:link w:val="175"/>
    <w:uiPriority w:val="99"/>
    <w:pPr>
      <w:pBdr/>
      <w:spacing/>
      <w:ind/>
    </w:pPr>
    <w:rPr>
      <w:sz w:val="18"/>
    </w:rPr>
  </w:style>
  <w:style w:type="character" w:styleId="177">
    <w:name w:val="footnote reference"/>
    <w:basedOn w:val="671"/>
    <w:uiPriority w:val="99"/>
    <w:unhideWhenUsed/>
    <w:pPr>
      <w:pBdr/>
      <w:spacing/>
      <w:ind/>
    </w:pPr>
    <w:rPr>
      <w:vertAlign w:val="superscript"/>
    </w:rPr>
  </w:style>
  <w:style w:type="paragraph" w:styleId="178">
    <w:name w:val="endnote text"/>
    <w:basedOn w:val="670"/>
    <w:link w:val="179"/>
    <w:uiPriority w:val="99"/>
    <w:semiHidden/>
    <w:unhideWhenUsed/>
    <w:pPr>
      <w:pBdr/>
      <w:spacing w:after="0" w:line="240" w:lineRule="auto"/>
      <w:ind/>
    </w:pPr>
    <w:rPr>
      <w:sz w:val="20"/>
    </w:rPr>
  </w:style>
  <w:style w:type="character" w:styleId="179">
    <w:name w:val="Endnote Text Char"/>
    <w:link w:val="178"/>
    <w:uiPriority w:val="99"/>
    <w:pPr>
      <w:pBdr/>
      <w:spacing/>
      <w:ind/>
    </w:pPr>
    <w:rPr>
      <w:sz w:val="20"/>
    </w:rPr>
  </w:style>
  <w:style w:type="character" w:styleId="180">
    <w:name w:val="endnote reference"/>
    <w:basedOn w:val="671"/>
    <w:uiPriority w:val="99"/>
    <w:semiHidden/>
    <w:unhideWhenUsed/>
    <w:pPr>
      <w:pBdr/>
      <w:spacing/>
      <w:ind/>
    </w:pPr>
    <w:rPr>
      <w:vertAlign w:val="superscript"/>
    </w:rPr>
  </w:style>
  <w:style w:type="paragraph" w:styleId="181">
    <w:name w:val="toc 1"/>
    <w:basedOn w:val="670"/>
    <w:next w:val="670"/>
    <w:uiPriority w:val="39"/>
    <w:unhideWhenUsed/>
    <w:pPr>
      <w:pBdr/>
      <w:spacing w:after="57"/>
      <w:ind w:right="0" w:firstLine="0" w:left="0"/>
    </w:pPr>
  </w:style>
  <w:style w:type="paragraph" w:styleId="182">
    <w:name w:val="toc 2"/>
    <w:basedOn w:val="670"/>
    <w:next w:val="670"/>
    <w:uiPriority w:val="39"/>
    <w:unhideWhenUsed/>
    <w:pPr>
      <w:pBdr/>
      <w:spacing w:after="57"/>
      <w:ind w:right="0" w:firstLine="0" w:left="283"/>
    </w:pPr>
  </w:style>
  <w:style w:type="paragraph" w:styleId="183">
    <w:name w:val="toc 3"/>
    <w:basedOn w:val="670"/>
    <w:next w:val="670"/>
    <w:uiPriority w:val="39"/>
    <w:unhideWhenUsed/>
    <w:pPr>
      <w:pBdr/>
      <w:spacing w:after="57"/>
      <w:ind w:right="0" w:firstLine="0" w:left="567"/>
    </w:pPr>
  </w:style>
  <w:style w:type="paragraph" w:styleId="184">
    <w:name w:val="toc 4"/>
    <w:basedOn w:val="670"/>
    <w:next w:val="670"/>
    <w:uiPriority w:val="39"/>
    <w:unhideWhenUsed/>
    <w:pPr>
      <w:pBdr/>
      <w:spacing w:after="57"/>
      <w:ind w:right="0" w:firstLine="0" w:left="850"/>
    </w:pPr>
  </w:style>
  <w:style w:type="paragraph" w:styleId="185">
    <w:name w:val="toc 5"/>
    <w:basedOn w:val="670"/>
    <w:next w:val="670"/>
    <w:uiPriority w:val="39"/>
    <w:unhideWhenUsed/>
    <w:pPr>
      <w:pBdr/>
      <w:spacing w:after="57"/>
      <w:ind w:right="0" w:firstLine="0" w:left="1134"/>
    </w:pPr>
  </w:style>
  <w:style w:type="paragraph" w:styleId="186">
    <w:name w:val="toc 6"/>
    <w:basedOn w:val="670"/>
    <w:next w:val="670"/>
    <w:uiPriority w:val="39"/>
    <w:unhideWhenUsed/>
    <w:pPr>
      <w:pBdr/>
      <w:spacing w:after="57"/>
      <w:ind w:right="0" w:firstLine="0" w:left="1417"/>
    </w:pPr>
  </w:style>
  <w:style w:type="paragraph" w:styleId="187">
    <w:name w:val="toc 7"/>
    <w:basedOn w:val="670"/>
    <w:next w:val="670"/>
    <w:uiPriority w:val="39"/>
    <w:unhideWhenUsed/>
    <w:pPr>
      <w:pBdr/>
      <w:spacing w:after="57"/>
      <w:ind w:right="0" w:firstLine="0" w:left="1701"/>
    </w:pPr>
  </w:style>
  <w:style w:type="paragraph" w:styleId="188">
    <w:name w:val="toc 8"/>
    <w:basedOn w:val="670"/>
    <w:next w:val="670"/>
    <w:uiPriority w:val="39"/>
    <w:unhideWhenUsed/>
    <w:pPr>
      <w:pBdr/>
      <w:spacing w:after="57"/>
      <w:ind w:right="0" w:firstLine="0" w:left="1984"/>
    </w:pPr>
  </w:style>
  <w:style w:type="paragraph" w:styleId="189">
    <w:name w:val="toc 9"/>
    <w:basedOn w:val="670"/>
    <w:next w:val="670"/>
    <w:uiPriority w:val="39"/>
    <w:unhideWhenUsed/>
    <w:pPr>
      <w:pBdr/>
      <w:spacing w:after="57"/>
      <w:ind w:right="0" w:firstLine="0" w:left="2268"/>
    </w:pPr>
  </w:style>
  <w:style w:type="paragraph" w:styleId="190">
    <w:name w:val="TOC Heading"/>
    <w:uiPriority w:val="39"/>
    <w:unhideWhenUsed/>
    <w:pPr>
      <w:pBdr/>
      <w:spacing/>
      <w:ind/>
    </w:pPr>
  </w:style>
  <w:style w:type="paragraph" w:styleId="191">
    <w:name w:val="table of figures"/>
    <w:basedOn w:val="670"/>
    <w:next w:val="670"/>
    <w:uiPriority w:val="99"/>
    <w:unhideWhenUsed/>
    <w:pPr>
      <w:pBdr/>
      <w:spacing w:after="0" w:afterAutospacing="0"/>
      <w:ind/>
    </w:pPr>
  </w:style>
  <w:style w:type="paragraph" w:styleId="670" w:default="1">
    <w:name w:val="Normal"/>
    <w:qFormat/>
    <w:pPr>
      <w:pBdr/>
      <w:spacing/>
      <w:ind/>
      <w:jc w:val="both"/>
    </w:pPr>
    <w:rPr>
      <w:rFonts w:ascii="Calibri" w:hAnsi="Calibri" w:eastAsia="Calibri" w:cs="Times New Roman"/>
    </w:rPr>
  </w:style>
  <w:style w:type="character" w:styleId="671" w:default="1">
    <w:name w:val="Default Paragraph Font"/>
    <w:uiPriority w:val="1"/>
    <w:semiHidden/>
    <w:unhideWhenUsed/>
    <w:pPr>
      <w:pBdr/>
      <w:spacing/>
      <w:ind/>
    </w:pPr>
  </w:style>
  <w:style w:type="table" w:styleId="672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673" w:default="1">
    <w:name w:val="No List"/>
    <w:uiPriority w:val="99"/>
    <w:semiHidden/>
    <w:unhideWhenUsed/>
    <w:pPr>
      <w:pBdr/>
      <w:spacing/>
      <w:ind/>
    </w:pPr>
  </w:style>
  <w:style w:type="paragraph" w:styleId="674" w:customStyle="1">
    <w:name w:val="List Paragraph1"/>
    <w:basedOn w:val="670"/>
    <w:pPr>
      <w:pBdr/>
      <w:spacing/>
      <w:ind w:left="720"/>
    </w:pPr>
    <w:rPr>
      <w:rFonts w:eastAsia="Times New Roman" w:cs="Calibri"/>
    </w:rPr>
  </w:style>
  <w:style w:type="table" w:styleId="675">
    <w:name w:val="Table Grid"/>
    <w:basedOn w:val="672"/>
    <w:uiPriority w:val="59"/>
    <w:pPr>
      <w:pBdr/>
      <w:spacing w:after="0" w:line="240" w:lineRule="auto"/>
      <w:ind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676">
    <w:name w:val="List Paragraph"/>
    <w:basedOn w:val="670"/>
    <w:uiPriority w:val="34"/>
    <w:qFormat/>
    <w:pPr>
      <w:pBdr/>
      <w:spacing/>
      <w:ind w:left="720"/>
      <w:contextualSpacing w:val="true"/>
    </w:pPr>
  </w:style>
  <w:style w:type="paragraph" w:styleId="677">
    <w:name w:val="No Spacing"/>
    <w:uiPriority w:val="1"/>
    <w:qFormat/>
    <w:pPr>
      <w:pBdr/>
      <w:spacing w:after="0" w:line="240" w:lineRule="auto"/>
      <w:ind/>
    </w:pPr>
    <w:rPr>
      <w:rFonts w:ascii="Calibri" w:hAnsi="Calibri" w:eastAsia="Calibri" w:cs="Times New Roman"/>
    </w:rPr>
  </w:style>
  <w:style w:type="numbering" w:styleId="678" w:customStyle="1">
    <w:name w:val="Стиль1"/>
    <w:uiPriority w:val="99"/>
    <w:pPr>
      <w:numPr>
        <w:ilvl w:val="0"/>
        <w:numId w:val="14"/>
      </w:numPr>
      <w:pBdr/>
      <w:spacing/>
      <w:ind/>
    </w:pPr>
  </w:style>
  <w:style w:type="numbering" w:styleId="679" w:customStyle="1">
    <w:name w:val="Стиль2"/>
    <w:uiPriority w:val="99"/>
    <w:pPr>
      <w:numPr>
        <w:ilvl w:val="0"/>
        <w:numId w:val="19"/>
      </w:numPr>
      <w:pBdr/>
      <w:spacing/>
      <w:ind/>
    </w:pPr>
  </w:style>
  <w:style w:type="numbering" w:styleId="680" w:customStyle="1">
    <w:name w:val="Стиль3"/>
    <w:uiPriority w:val="99"/>
    <w:pPr>
      <w:numPr>
        <w:ilvl w:val="0"/>
        <w:numId w:val="22"/>
      </w:numPr>
      <w:pBdr/>
      <w:spacing/>
      <w:ind/>
    </w:pPr>
  </w:style>
  <w:style w:type="character" w:styleId="681">
    <w:name w:val="Hyperlink"/>
    <w:basedOn w:val="671"/>
    <w:uiPriority w:val="99"/>
    <w:semiHidden/>
    <w:unhideWhenUsed/>
    <w:pPr>
      <w:pBdr/>
      <w:spacing/>
      <w:ind/>
    </w:pPr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E8B8F78-015A-425C-A0FC-952C30F10B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ONLYOFFICE/8.0.1.31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2022-03-11T11:15:00Z</dcterms:created>
  <dcterms:modified xsi:type="dcterms:W3CDTF">2024-05-08T08:29:37Z</dcterms:modified>
</cp:coreProperties>
</file>