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keepNext w:val="true"/>
        <w:numPr>
          <w:ilvl w:val="0"/>
          <w:numId w:val="1"/>
        </w:numPr>
        <w:pBdr/>
        <w:spacing w:after="0" w:line="360" w:lineRule="auto"/>
        <w:ind w:right="-28"/>
        <w:jc w:val="center"/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pPr>
      <w:r>
        <w:rPr>
          <w:rFonts w:eastAsia="Times New Roman" w:asciiTheme="minorHAnsi" w:hAnsiTheme="minorHAnsi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 w:asciiTheme="minorHAnsi" w:hAnsiTheme="minorHAnsi"/>
          <w:b/>
          <w:spacing w:val="20"/>
          <w:sz w:val="24"/>
          <w:szCs w:val="20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рассмотрения и оценки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втор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ых частей заявок на участие 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8"/>
          <w:szCs w:val="28"/>
          <w:lang w:eastAsia="ru-RU"/>
        </w:rPr>
      </w:pP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в </w:t>
      </w:r>
      <w:r>
        <w:rPr>
          <w:rFonts w:eastAsia="Times New Roman" w:asciiTheme="minorHAnsi" w:hAnsiTheme="minorHAnsi"/>
          <w:sz w:val="28"/>
          <w:szCs w:val="28"/>
          <w:lang w:eastAsia="ru-RU"/>
        </w:rPr>
        <w:t xml:space="preserve">электронном конкурсе, проводимом в соответствии с частью 19 статьи 48 Федерального закона №44-ФЗ</w:t>
      </w:r>
      <w:r>
        <w:rPr>
          <w:rFonts w:eastAsia="Times New Roman" w:asciiTheme="minorHAnsi" w:hAnsiTheme="minorHAnsi"/>
          <w:sz w:val="28"/>
          <w:szCs w:val="28"/>
          <w:lang w:eastAsia="ru-RU"/>
        </w:rPr>
      </w:r>
    </w:p>
    <w:p>
      <w:pPr>
        <w:pBdr/>
        <w:spacing w:after="0" w:line="240" w:lineRule="auto"/>
        <w:ind w:right="-1"/>
        <w:jc w:val="center"/>
        <w:rPr>
          <w:rFonts w:eastAsia="Times New Roman" w:asciiTheme="minorHAnsi" w:hAnsiTheme="minorHAnsi"/>
          <w:sz w:val="24"/>
          <w:szCs w:val="24"/>
          <w:lang w:eastAsia="ru-RU"/>
        </w:rPr>
      </w:pPr>
      <w:r>
        <w:rPr>
          <w:rFonts w:eastAsia="Times New Roman" w:asciiTheme="minorHAnsi" w:hAnsiTheme="minorHAnsi"/>
          <w:sz w:val="24"/>
          <w:szCs w:val="24"/>
          <w:lang w:eastAsia="ru-RU"/>
        </w:rPr>
        <w:t xml:space="preserve">(0801500001126000922)</w:t>
      </w:r>
      <w:r>
        <w:rPr>
          <w:rFonts w:eastAsia="Times New Roman" w:asciiTheme="minorHAnsi" w:hAnsiTheme="minorHAnsi"/>
          <w:sz w:val="24"/>
          <w:szCs w:val="24"/>
          <w:lang w:eastAsia="ru-RU"/>
        </w:rPr>
      </w:r>
    </w:p>
    <w:p>
      <w:pPr>
        <w:pBdr/>
        <w:spacing w:after="0" w:line="240" w:lineRule="auto"/>
        <w:ind w:right="5243" w:left="3828"/>
        <w:rPr>
          <w:rFonts w:eastAsia="Times New Roman" w:asciiTheme="minorHAnsi" w:hAnsiTheme="minorHAnsi" w:cstheme="minorHAnsi"/>
          <w:sz w:val="24"/>
          <w:szCs w:val="20"/>
          <w:lang w:eastAsia="ru-RU"/>
        </w:rPr>
      </w:pP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  <w:r>
        <w:rPr>
          <w:rFonts w:eastAsia="Times New Roman" w:asciiTheme="minorHAnsi" w:hAnsiTheme="minorHAnsi" w:cstheme="minorHAnsi"/>
          <w:sz w:val="24"/>
          <w:szCs w:val="20"/>
          <w:lang w:eastAsia="ru-RU"/>
        </w:rPr>
      </w:r>
    </w:p>
    <w:tbl>
      <w:tblPr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Borders/>
            <w:tcW w:w="255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0" w:line="240" w:lineRule="auto"/>
              <w:ind w:left="0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lang w:eastAsia="ru-RU"/>
              </w:rPr>
              <w:t xml:space="preserve">05.06.2026</w:t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4247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right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 w:cstheme="minorHAnsi"/>
                <w:bCs/>
              </w:rPr>
            </w:r>
            <w:r>
              <w:rPr>
                <w:rFonts w:asciiTheme="minorHAnsi" w:hAnsiTheme="minorHAnsi" w:cstheme="minorHAnsi"/>
                <w:bCs/>
              </w:rPr>
            </w:r>
          </w:p>
        </w:tc>
        <w:tc>
          <w:tcPr>
            <w:tcBorders/>
            <w:tcW w:w="3402" w:type="dxa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rPr>
                <w:rFonts w:asciiTheme="minorHAnsi" w:hAnsiTheme="minorHAnsi" w:cstheme="minorHAnsi"/>
                <w:lang w:eastAsia="ru-RU"/>
              </w:rPr>
            </w:pPr>
            <w:r>
              <w:rPr>
                <w:rFonts w:asciiTheme="minorHAnsi" w:hAnsiTheme="minorHAnsi" w:cstheme="minorHAnsi"/>
                <w:bCs/>
              </w:rPr>
              <w:t xml:space="preserve">№ </w:t>
            </w:r>
            <w:r>
              <w:rPr>
                <w:rFonts w:asciiTheme="minorHAnsi" w:hAnsiTheme="minorHAnsi" w:cstheme="minorHAnsi"/>
                <w:lang w:eastAsia="ru-RU"/>
              </w:rPr>
              <w:t xml:space="preserve">0801500001126000922-3-1</w:t>
            </w:r>
            <w:r>
              <w:rPr>
                <w:rFonts w:asciiTheme="minorHAnsi" w:hAnsiTheme="minorHAnsi" w:cstheme="minorHAnsi"/>
                <w:lang w:eastAsia="ru-RU"/>
              </w:rPr>
            </w:r>
          </w:p>
        </w:tc>
      </w:tr>
      <w:tr>
        <w:trPr/>
        <w:tc>
          <w:tcPr>
            <w:gridSpan w:val="3"/>
            <w:tcBorders/>
            <w:tcW w:w="10206" w:type="dxa"/>
            <w:vAlign w:val="bottom"/>
            <w:textDirection w:val="lrTb"/>
            <w:noWrap w:val="false"/>
          </w:tcPr>
          <w:p>
            <w:pPr>
              <w:pStyle w:val="674"/>
              <w:pBdr/>
              <w:tabs>
                <w:tab w:val="left" w:leader="none" w:pos="567"/>
              </w:tabs>
              <w:spacing w:after="60" w:before="60" w:line="240" w:lineRule="auto"/>
              <w:ind w:left="0"/>
              <w:jc w:val="center"/>
              <w:rPr>
                <w:rFonts w:asciiTheme="minorHAnsi" w:hAnsiTheme="minorHAnsi" w:cstheme="minorHAnsi"/>
                <w:bCs/>
              </w:rPr>
            </w:pPr>
            <w:r>
              <w:rPr>
                <w:rFonts w:asciiTheme="minorHAnsi" w:hAnsiTheme="minorHAnsi"/>
                <w:lang w:eastAsia="ru-RU"/>
              </w:rPr>
              <w:t xml:space="preserve">Башкортостан Респ, Уфа г</w:t>
            </w:r>
            <w:r>
              <w:rPr>
                <w:rFonts w:asciiTheme="minorHAnsi" w:hAnsiTheme="minorHAnsi" w:cstheme="minorHAnsi"/>
                <w:bCs/>
              </w:rPr>
            </w:r>
          </w:p>
        </w:tc>
      </w:tr>
    </w:tbl>
    <w:p>
      <w:pPr>
        <w:pStyle w:val="674"/>
        <w:pBdr/>
        <w:tabs>
          <w:tab w:val="left" w:leader="none" w:pos="567"/>
        </w:tabs>
        <w:spacing w:after="60" w:before="60" w:line="240" w:lineRule="auto"/>
        <w:ind w:left="0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</w:r>
      <w:r>
        <w:rPr>
          <w:rFonts w:asciiTheme="minorHAnsi" w:hAnsiTheme="minorHAnsi" w:cstheme="minorHAnsi"/>
          <w:bCs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Организатор: </w:t>
      </w:r>
      <w:r>
        <w:rPr>
          <w:rFonts w:eastAsia="Times New Roman"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Уполномоченное учреждение</w:t>
      </w:r>
      <w:r>
        <w:rPr>
          <w:rFonts w:eastAsia="Times New Roman" w:asciiTheme="minorHAnsi" w:hAnsiTheme="minorHAnsi" w:cstheme="minorHAnsi"/>
        </w:rPr>
        <w:t xml:space="preserve">.</w:t>
      </w:r>
      <w:r>
        <w:rPr>
          <w:rFonts w:eastAsia="Times New Roman" w:asciiTheme="minorHAnsi" w:hAnsiTheme="minorHAnsi" w:cstheme="minorHAnsi"/>
        </w:rPr>
        <w:t xml:space="preserve"> ГОСУДАРСТВЕННОЕ КАЗЕННОЕ УЧРЕЖДЕНИЕ РЕСПУБЛИКИ БАШКОРТОСТАН "РЕСПУБЛИКАНСКИЙ ЦЕНТР ТОРГОВ".</w:t>
      </w:r>
      <w:r>
        <w:rPr>
          <w:rFonts w:eastAsia="Times New Roman"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</w:rPr>
      </w:pPr>
      <w:r>
        <w:rPr>
          <w:rFonts w:eastAsia="Times New Roman" w:asciiTheme="minorHAnsi" w:hAnsiTheme="minorHAnsi" w:cstheme="minorHAnsi"/>
        </w:rPr>
        <w:t xml:space="preserve">Заказчик(и): </w:t>
      </w:r>
      <w:r>
        <w:rPr>
          <w:rFonts w:eastAsia="Times New Roman" w:asciiTheme="minorHAnsi" w:hAnsiTheme="minorHAnsi" w:cstheme="minorHAnsi"/>
        </w:rPr>
      </w:r>
    </w:p>
    <w:tbl>
      <w:tblPr>
        <w:tblStyle w:val="67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Borders/>
            <w:tcW w:w="1009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before="60"/>
              <w:ind/>
              <w:rPr>
                <w:rFonts w:eastAsia="Times New Roman" w:asciiTheme="minorHAnsi" w:hAnsiTheme="minorHAnsi" w:cs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  <w:t xml:space="preserve">АДМИНИСТРАЦИЯ МУНИЦИПАЛЬНОГО РАЙОНА СТЕРЛИТАМАКСКИЙ РАЙОН РЕСПУБЛИКИ БАШКОРТОСТАН</w:t>
            </w:r>
            <w:r>
              <w:rPr>
                <w:rFonts w:eastAsia="Times New Roman"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Идентификационный код закупки: 263024200678802420100100380014211244.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Извещение об осуществлении закупки размещено 14.05.2026 14:12 (MSK+02:00) на сайте Единой информационной системы в сфере закупок (ЕИС) по адресу в сети «Интернет»: http://zakupki.gov.ru и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объекта закупки: Ремонт дороги подъезд к с. Заливное (СНТ "Заря").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Начальная (максимальная) цена контракта, руб.: 21 000 000.00</w:t>
      </w:r>
      <w:r>
        <w:rPr>
          <w:rFonts w:asciiTheme="minorHAnsi" w:hAnsiTheme="minorHAnsi" w:cstheme="minorHAnsi"/>
        </w:rPr>
      </w:r>
    </w:p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/>
      </w:r>
      <w:r>
        <w:rPr>
          <w:rFonts w:asciiTheme="minorHAnsi" w:hAnsiTheme="minorHAnsi" w:cstheme="minorHAnsi"/>
        </w:rPr>
      </w:r>
    </w:p>
    <w:tbl>
      <w:tblPr>
        <w:tblStyle w:val="67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Borders/>
            <w:tcW w:w="10353" w:type="dxa"/>
            <w:textDirection w:val="lrTb"/>
            <w:noWrap w:val="false"/>
          </w:tcPr>
          <w:p>
            <w:pPr>
              <w:pStyle w:val="676"/>
              <w:keepNext w:val="true"/>
              <w:widowControl w:val="false"/>
              <w:numPr>
                <w:ilvl w:val="0"/>
                <w:numId w:val="24"/>
              </w:numPr>
              <w:pBdr/>
              <w:spacing w:before="60"/>
              <w:ind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Дата и время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рассмотрения и оценки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втор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ых частей заявок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на участие в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электронном конкурсе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: </w:t>
            </w:r>
            <w:r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05.06.2026 16:02:14 (MSK+02:00).</w: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Наименование комиссии: Комиссия по осуществлению закупок Государственного казенного учреждения Республики Башкортостан «Республиканский центр торгов» при проведении открытого конкурса в электронной форме «Ремонт дороги подъезд к с. Заливное (СНТ "Заря")»  . </w:t>
      </w:r>
      <w:r>
        <w:rPr>
          <w:rFonts w:asciiTheme="minorHAnsi" w:hAnsiTheme="minorHAnsi" w:cstheme="minorHAnsi"/>
        </w:rPr>
      </w:r>
    </w:p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Состав комиссии по осуществлению закупок:</w:t>
      </w:r>
      <w:r>
        <w:rPr>
          <w:rFonts w:asciiTheme="minorHAnsi" w:hAnsiTheme="minorHAnsi" w:cstheme="minorHAnsi"/>
        </w:rPr>
      </w:r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Роль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Должность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Фамилия, имя, отчество</w:t>
            </w:r>
            <w:r>
              <w:rPr>
                <w:rFonts w:asciiTheme="minorHAnsi" w:hAnsiTheme="minorHAnsi" w:cstheme="minorHAnsi"/>
                <w:b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widowControl w:val="false"/>
              <w:pBdr/>
              <w:spacing w:after="0" w:before="60" w:line="240" w:lineRule="auto"/>
              <w:ind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Статус</w:t>
            </w:r>
            <w:r>
              <w:rPr>
                <w:rFonts w:asciiTheme="minorHAnsi" w:hAnsiTheme="minorHAnsi" w:cstheme="minorHAnsi"/>
                <w:b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Зам. председателя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Васильева Ольга Викторовна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Член комиссии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/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lef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Алексеева Зинаида Алексеевна</w:t>
            </w:r>
            <w:r>
              <w:rPr>
                <w:rFonts w:asciiTheme="minorHAnsi" w:hAnsiTheme="minorHAnsi" w:cstheme="minorHAns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pBdr/>
              <w:spacing w:after="0" w:line="240" w:lineRule="auto"/>
              <w:ind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Присутствует</w:t>
            </w:r>
            <w:r>
              <w:rPr>
                <w:rFonts w:asciiTheme="minorHAnsi" w:hAnsiTheme="minorHAnsi" w:cstheme="minorHAnsi"/>
              </w:rPr>
            </w:r>
          </w:p>
        </w:tc>
      </w:tr>
    </w:tbl>
    <w:p>
      <w:pPr>
        <w:widowControl w:val="false"/>
        <w:pBdr/>
        <w:spacing w:after="0" w:before="60" w:line="240" w:lineRule="auto"/>
        <w:ind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Количество членов комиссии, присутствующих на заседании: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2.</w:t>
      </w:r>
      <w:r>
        <w:rPr>
          <w:rFonts w:asciiTheme="minorHAnsi" w:hAnsiTheme="minorHAnsi" w:cstheme="minorHAnsi"/>
        </w:rPr>
        <w:t xml:space="preserve"> </w:t>
      </w:r>
      <w:r>
        <w:rPr>
          <w:rFonts w:eastAsia="Times New Roman" w:asciiTheme="minorHAnsi" w:hAnsiTheme="minorHAnsi"/>
          <w:lang w:eastAsia="ru-RU"/>
        </w:rPr>
        <w:t xml:space="preserve">Кворум имеется. Комиссия правомочна.</w:t>
      </w:r>
      <w:r>
        <w:rPr>
          <w:rFonts w:asciiTheme="minorHAnsi" w:hAnsiTheme="minorHAnsi" w:cstheme="minorHAnsi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</w:rPr>
        <w:t xml:space="preserve">Количество </w:t>
      </w:r>
      <w:r>
        <w:rPr>
          <w:rFonts w:asciiTheme="minorHAnsi" w:hAnsiTheme="minorHAnsi" w:cstheme="minorHAnsi"/>
        </w:rPr>
        <w:t xml:space="preserve">рассматриваемых</w:t>
      </w:r>
      <w:r>
        <w:rPr>
          <w:rFonts w:asciiTheme="minorHAnsi" w:hAnsiTheme="minorHAnsi" w:cstheme="minorHAnsi"/>
        </w:rPr>
        <w:t xml:space="preserve"> заявок</w:t>
      </w:r>
      <w:r>
        <w:rPr>
          <w:rFonts w:asciiTheme="minorHAnsi" w:hAnsiTheme="minorHAnsi" w:cstheme="minorHAnsi"/>
        </w:rPr>
        <w:t xml:space="preserve">: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  <w:iCs/>
          <w:szCs w:val="21"/>
        </w:rPr>
        <w:t xml:space="preserve">7</w:t>
      </w:r>
      <w:r>
        <w:rPr>
          <w:rFonts w:asciiTheme="minorHAnsi" w:hAnsiTheme="minorHAnsi" w:cstheme="minorHAnsi"/>
          <w:iCs/>
          <w:szCs w:val="21"/>
        </w:rPr>
        <w:t xml:space="preserve">.</w:t>
      </w:r>
      <w:r>
        <w:rPr>
          <w:rFonts w:asciiTheme="minorHAnsi" w:hAnsiTheme="minorHAnsi" w:cstheme="minorHAnsi"/>
          <w:iCs/>
          <w:szCs w:val="21"/>
        </w:rPr>
      </w:r>
    </w:p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asciiTheme="minorHAnsi" w:hAnsiTheme="minorHAnsi" w:cstheme="minorHAnsi"/>
          <w:iCs/>
          <w:szCs w:val="21"/>
        </w:rPr>
      </w:pPr>
      <w:r>
        <w:rPr>
          <w:rFonts w:asciiTheme="minorHAnsi" w:hAnsiTheme="minorHAnsi" w:cstheme="minorHAnsi"/>
          <w:iCs/>
          <w:szCs w:val="21"/>
        </w:rPr>
        <w:t xml:space="preserve">Информация о </w:t>
      </w:r>
      <w:r>
        <w:rPr>
          <w:rFonts w:asciiTheme="minorHAnsi" w:hAnsiTheme="minorHAnsi" w:cstheme="minorHAnsi"/>
          <w:iCs/>
          <w:szCs w:val="21"/>
        </w:rPr>
        <w:t xml:space="preserve">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rFonts w:asciiTheme="minorHAnsi" w:hAnsiTheme="minorHAnsi" w:cstheme="minorHAnsi"/>
          <w:iCs/>
          <w:szCs w:val="21"/>
        </w:rPr>
      </w:r>
    </w:p>
    <w:tbl>
      <w:tblPr>
        <w:tblStyle w:val="675"/>
        <w:tblW w:w="10206" w:type="dxa"/>
        <w:tblInd w:w="-5" w:type="dxa"/>
        <w:tblBorders/>
        <w:tblLayout w:type="fixed"/>
        <w:tblLook w:val="04A0" w:firstRow="1" w:lastRow="0" w:firstColumn="1" w:lastColumn="0" w:noHBand="0" w:noVBand="1"/>
      </w:tblPr>
      <w:tblGrid>
        <w:gridCol w:w="1450"/>
        <w:gridCol w:w="1527"/>
        <w:gridCol w:w="1701"/>
        <w:gridCol w:w="5528"/>
      </w:tblGrid>
      <w:tr>
        <w:trPr>
          <w:trHeight w:val="843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 w:left="-108"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Порядковый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Идентификационный номер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 присвоенный оператором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</w:r>
          </w:p>
          <w:p>
            <w:pPr>
              <w:pBdr/>
              <w:spacing/>
              <w:ind/>
              <w:jc w:val="center"/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 w:asciiTheme="minorHAnsi" w:hAnsiTheme="minorHAnsi"/>
                <w:b/>
                <w:bCs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06:38:14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6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12:41:41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10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14:49:56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11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16:05:04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12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02.06.2026 19:22:24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13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03.06.2026 06:06:41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  <w:tr>
        <w:trPr>
          <w:trHeight w:val="504"/>
        </w:trPr>
        <w:tc>
          <w:tcPr>
            <w:tcBorders/>
            <w:tcW w:w="1450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527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14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,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  <w:p>
            <w:pPr>
              <w:keepNext w:val="true"/>
              <w:widowControl w:val="false"/>
              <w:pBdr/>
              <w:spacing w:before="60"/>
              <w:ind/>
              <w:jc w:val="center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03.06.2026 06:52:09 (MSK+00:00)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1701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  <w:tc>
          <w:tcPr>
            <w:tcBorders/>
            <w:tcW w:w="5528" w:type="dxa"/>
            <w:vAlign w:val="center"/>
            <w:textDirection w:val="lrTb"/>
            <w:noWrap w:val="false"/>
          </w:tcPr>
          <w:p>
            <w:pPr>
              <w:keepNext w:val="true"/>
              <w:widowControl w:val="false"/>
              <w:pBdr/>
              <w:spacing w:before="60"/>
              <w:ind/>
              <w:jc w:val="left"/>
              <w:rPr>
                <w:rFonts w:eastAsia="Times New Roman" w:asciiTheme="minorHAnsi" w:hAnsiTheme="minorHAnsi"/>
                <w:sz w:val="22"/>
                <w:szCs w:val="22"/>
              </w:rPr>
            </w:pPr>
            <w:r>
              <w:rPr>
                <w:rFonts w:eastAsia="Times New Roman" w:asciiTheme="minorHAnsi" w:hAnsiTheme="minorHAnsi"/>
                <w:sz w:val="22"/>
                <w:szCs w:val="22"/>
              </w:rPr>
              <w:t xml:space="preserve"/>
            </w:r>
            <w:r>
              <w:rPr>
                <w:rFonts w:eastAsia="Times New Roman" w:asciiTheme="minorHAnsi" w:hAnsiTheme="minorHAnsi"/>
                <w:sz w:val="22"/>
                <w:szCs w:val="22"/>
              </w:rPr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Присвоенные вторым частям заявок на уч</w:t>
      </w:r>
      <w:r>
        <w:rPr>
          <w:rFonts w:eastAsia="Times New Roman" w:asciiTheme="minorHAnsi" w:hAnsiTheme="minorHAnsi" w:cstheme="minorHAnsi"/>
          <w:lang w:eastAsia="ru-RU"/>
        </w:rPr>
        <w:t xml:space="preserve">астие в закупке, признанным соответствующими извещению об осуществлении закупки, значения по критерию, предусмотренному пунктом 4 части 1 статьи 32 настоящего Федерального закона (в случае установления такого критерия в извещении об осуществлении закупки):</w:t>
      </w:r>
      <w:r>
        <w:rPr>
          <w:rFonts w:eastAsia="Times New Roman" w:asciiTheme="minorHAnsi" w:hAnsiTheme="minorHAnsi" w:cstheme="minorHAnsi"/>
          <w:lang w:eastAsia="ru-RU"/>
        </w:rPr>
      </w:r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№6: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9.16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148.0000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22.90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№10: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2.19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5.48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1.87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35.0000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4.68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№13: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6.45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106.0000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16.13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№14: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Васильева Ольга Викторовна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Алексеева Зинаида Алексеевна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6.97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Общее количество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114.0000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17.42</w:t>
            </w:r>
          </w:p>
        </w:tc>
      </w:tr>
    </w:tbl>
    <w:p>
      <w:pPr>
        <w:pStyle w:val="676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eastAsia="Times New Roman" w:asciiTheme="minorHAnsi" w:hAnsiTheme="minorHAnsi" w:cstheme="minorHAnsi"/>
          <w:lang w:eastAsia="ru-RU"/>
        </w:rPr>
        <w:t xml:space="preserve">Информация о решении каждого члена комиссии по осуществлению закупок, принимавшего участие в рассмотрении и оценке вторых частей заявок на участие в закупке, в отношении каждой второй части заявки на участие в закупке:</w:t>
      </w:r>
      <w:r>
        <w:rPr>
          <w:rFonts w:eastAsia="Times New Roman" w:asciiTheme="minorHAnsi" w:hAnsiTheme="minorHAnsi" w:cstheme="minorHAnsi"/>
          <w:lang w:eastAsia="ru-RU"/>
        </w:rPr>
      </w:r>
    </w:p>
    <w:tbl>
      <w:tblGrid>
        <w:gridCol w:w="3212.6666666666669698315672576427459716796875" w:type="dxa"/>
        <w:gridCol w:w="3212.6666666666669698315672576427459716796875" w:type="dxa"/>
        <w:gridCol w:w="3212.6666666666669698315672576427459716796875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  <w:tc>
          <w:tcPr>
            <w:tcW w:w="3212.66666666666696983156725764274597167968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Информация о наличии (отсутствии) конфликта интересов между членом комиссии и участником закупки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10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11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12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13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14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Васильева Ольга Викторовна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  <w:tr>
        <w:trPr/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Алексеева Зинаида Алексеевна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  <w:tc>
          <w:tcPr>
            <w:tcW w:w="3212.6666666666669698315672576427459716796875" w:type="dxa"/>
            <w:vAlign w:val="center"/>
            <w:noWrap/>
          </w:tcPr>
          <w:p>
            <w:pPr>
              <w:jc w:val="left"/>
            </w:pPr>
            <w:r>
              <w:rPr/>
              <w:t xml:space="preserve">Отсутствует</w:t>
            </w:r>
          </w:p>
        </w:tc>
      </w:tr>
    </w:tbl>
    <w:p>
      <w:pPr>
        <w:pStyle w:val="676"/>
        <w:keepNext w:val="true"/>
        <w:widowControl w:val="false"/>
        <w:numPr>
          <w:ilvl w:val="0"/>
          <w:numId w:val="24"/>
        </w:numPr>
        <w:pBdr/>
        <w:spacing w:after="0" w:before="60" w:line="240" w:lineRule="auto"/>
        <w:ind/>
        <w:rPr>
          <w:rFonts w:eastAsia="Times New Roman" w:asciiTheme="minorHAnsi" w:hAnsiTheme="minorHAnsi" w:cstheme="minorHAnsi"/>
          <w:lang w:eastAsia="ru-RU"/>
        </w:rPr>
      </w:pPr>
      <w:r>
        <w:rPr>
          <w:rFonts w:asciiTheme="minorHAnsi" w:hAnsiTheme="minorHAnsi" w:cstheme="minorHAnsi"/>
        </w:rPr>
        <w:t xml:space="preserve">На основании </w:t>
      </w:r>
      <w:r>
        <w:rPr>
          <w:rFonts w:asciiTheme="minorHAnsi" w:hAnsiTheme="minorHAnsi" w:cstheme="minorHAnsi"/>
        </w:rPr>
        <w:t xml:space="preserve">п.2 ч.11 ст.48 </w:t>
      </w:r>
      <w:r>
        <w:rPr>
          <w:rFonts w:asciiTheme="minorHAnsi" w:hAnsiTheme="minorHAnsi" w:cstheme="minorHAnsi"/>
        </w:rPr>
        <w:t xml:space="preserve">Федерального закона № 44-ФЗ настоящий </w:t>
      </w:r>
      <w:r>
        <w:rPr>
          <w:rFonts w:asciiTheme="minorHAnsi" w:hAnsiTheme="minorHAnsi" w:cstheme="minorHAnsi"/>
        </w:rPr>
        <w:t xml:space="preserve">протокол </w:t>
      </w:r>
      <w:r>
        <w:rPr>
          <w:rFonts w:asciiTheme="minorHAnsi" w:hAnsiTheme="minorHAnsi" w:cstheme="minorHAnsi"/>
          <w:bCs/>
        </w:rPr>
        <w:t xml:space="preserve">рассмотрения и оценки вторых частей заявок на участие в электронном конкурсе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сформирован </w:t>
      </w:r>
      <w:r>
        <w:rPr>
          <w:rFonts w:asciiTheme="minorHAnsi" w:hAnsiTheme="minorHAnsi" w:cstheme="minorHAnsi"/>
        </w:rPr>
        <w:t xml:space="preserve">Уполномоченным учреждением</w:t>
      </w:r>
      <w:bookmarkStart w:id="0" w:name="_GoBack"/>
      <w:r/>
      <w:bookmarkEnd w:id="0"/>
      <w:r>
        <w:rPr>
          <w:rFonts w:asciiTheme="minorHAnsi" w:hAnsiTheme="minorHAnsi" w:cstheme="minorHAnsi"/>
        </w:rPr>
        <w:t xml:space="preserve"> с использованием электронной пло</w:t>
      </w:r>
      <w:r>
        <w:rPr>
          <w:rFonts w:asciiTheme="minorHAnsi" w:hAnsiTheme="minorHAnsi" w:cstheme="minorHAnsi"/>
        </w:rPr>
        <w:t xml:space="preserve">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asciiTheme="minorHAnsi" w:hAnsiTheme="minorHAnsi" w:cstheme="minorHAnsi"/>
        </w:rPr>
        <w:t xml:space="preserve">электронной торговой площадки «Фабрикант»</w:t>
      </w:r>
      <w:r>
        <w:rPr>
          <w:rFonts w:asciiTheme="minorHAnsi" w:hAnsiTheme="minorHAnsi" w:cstheme="minorHAnsi"/>
        </w:rPr>
        <w:t xml:space="preserve"> по адресу в сети «Интернет»: http://www.etp-ets.ru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 w:asciiTheme="minorHAnsi" w:hAnsiTheme="minorHAnsi" w:cstheme="minorHAnsi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СТЕРЛИТАМАКСКИЙ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Васильева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00:D8:00:F5:48:BD:C7:07:29:9B:D1:3C:57:88:65:98:A1, действителен с 05.05.2025 05:21:53 по 29.07.2026 05:21:53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05.06.2026 14:07:26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МУНИЦИПАЛЬНОГО РАЙОНА СТЕРЛИТАМАКСКИЙ РАЙОН РЕСПУБЛИКИ БАШКОРТОСТАН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Алексеева Зинаида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6B:60:CB:EA:0E:A3:BE:89:AA:9C:8E:28:AF:2A:2F:E9, действителен с 20.11.2025 06:49:27 по 13.02.2027 06:49:27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05.06.2026 14:09:24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Мустафин Руслан Равилевич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68:F1:0F:A4:7E:BA:7C:E4:F3:D1:9C:B2:D5:E1:48:C9, действителен с 10.03.2026 05:21:04 по 03.06.2027 05:21:04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05.06.2026 14:13:07 МСК</w:t>
      </w:r>
    </w:p>
    <w:sectPr>
      <w:footnotePr/>
      <w:endnotePr/>
      <w:type w:val="nextPage"/>
      <w:pgSz w:h="16838" w:orient="portrait" w:w="11906"/>
      <w:pgMar w:top="1134" w:right="850" w:bottom="1134" w:left="993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styleLink w:val="678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8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9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2">
    <w:numStyleLink w:val="678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)"/>
      <w:numFmt w:val="lowerLetter"/>
      <w:pPr>
        <w:pBdr/>
        <w:spacing/>
        <w:ind w:hanging="360" w:left="720"/>
      </w:pPr>
      <w:rPr>
        <w:rFonts w:hint="default"/>
      </w:rPr>
      <w:start w:val="1"/>
      <w:suff w:val="tab"/>
    </w:lvl>
    <w:lvl w:ilvl="2">
      <w:isLgl w:val="false"/>
      <w:lvlJc w:val="left"/>
      <w:lvlText w:val="%3)"/>
      <w:numFmt w:val="lowerRoman"/>
      <w:pPr>
        <w:pBdr/>
        <w:spacing/>
        <w:ind w:hanging="360" w:left="1080"/>
      </w:pPr>
      <w:rPr>
        <w:rFonts w:hint="default"/>
      </w:rPr>
      <w:start w:val="1"/>
      <w:suff w:val="tab"/>
    </w:lvl>
    <w:lvl w:ilvl="3">
      <w:isLgl w:val="false"/>
      <w:lvlJc w:val="left"/>
      <w:lvlText w:val="(%4)"/>
      <w:numFmt w:val="decimal"/>
      <w:pPr>
        <w:pBdr/>
        <w:spacing/>
        <w:ind w:hanging="360" w:left="1440"/>
      </w:pPr>
      <w:rPr>
        <w:rFonts w:hint="default"/>
      </w:rPr>
      <w:start w:val="1"/>
      <w:suff w:val="tab"/>
    </w:lvl>
    <w:lvl w:ilvl="4">
      <w:isLgl w:val="false"/>
      <w:lvlJc w:val="left"/>
      <w:lvlText w:val="(%5)"/>
      <w:numFmt w:val="lowerLetter"/>
      <w:pPr>
        <w:pBdr/>
        <w:spacing/>
        <w:ind w:hanging="360" w:left="1800"/>
      </w:pPr>
      <w:rPr>
        <w:rFonts w:hint="default"/>
      </w:rPr>
      <w:start w:val="1"/>
      <w:suff w:val="tab"/>
    </w:lvl>
    <w:lvl w:ilvl="5">
      <w:isLgl w:val="false"/>
      <w:lvlJc w:val="left"/>
      <w:lvlText w:val="(%6)"/>
      <w:numFmt w:val="lowerRoman"/>
      <w:pPr>
        <w:pBdr/>
        <w:spacing/>
        <w:ind w:hanging="360" w:left="216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252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2880"/>
      </w:pPr>
      <w:rPr>
        <w:rFonts w:hint="default"/>
      </w:rPr>
      <w:start w:val="1"/>
      <w:suff w:val="tab"/>
    </w:lvl>
    <w:lvl w:ilvl="8">
      <w:isLgl w:val="false"/>
      <w:lvlJc w:val="left"/>
      <w:lvlText w:val="%9."/>
      <w:numFmt w:val="lowerRoman"/>
      <w:pPr>
        <w:pBdr/>
        <w:spacing/>
        <w:ind w:hanging="360" w:left="3240"/>
      </w:pPr>
      <w:rPr>
        <w:rFonts w:hint="default"/>
      </w:rPr>
      <w:start w:val="1"/>
      <w:suff w:val="tab"/>
    </w:lvl>
  </w:abstractNum>
  <w:abstractNum w:abstractNumId="15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6">
    <w:numStyleLink w:val="679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 w:val="0"/>
        <w:i w:val="0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360"/>
      </w:pPr>
      <w:rPr>
        <w:b w:val="0"/>
        <w:i w:val="0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9">
    <w:lvl w:ilvl="0">
      <w:isLgl w:val="false"/>
      <w:lvlJc w:val="left"/>
      <w:lvlText/>
      <w:numFmt w:val="none"/>
      <w:pPr>
        <w:pBdr/>
        <w:tabs>
          <w:tab w:val="num" w:leader="none" w:pos="360"/>
        </w:tabs>
        <w:spacing/>
        <w:ind w:firstLine="0" w:left="0"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1">
    <w:styleLink w:val="680"/>
    <w:lvl w:ilvl="0">
      <w:isLgl w:val="false"/>
      <w:lvlJc w:val="left"/>
      <w:lvlText w:val="%1."/>
      <w:numFmt w:val="decimal"/>
      <w:pPr>
        <w:pBdr/>
        <w:spacing/>
        <w:ind w:hanging="357" w:left="357"/>
      </w:pPr>
      <w:pStyle w:val="680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firstLine="3" w:left="357"/>
      </w:pPr>
      <w:rPr>
        <w:rFonts w:hint="default"/>
        <w:color w:val="auto"/>
      </w:rPr>
      <w:start w:val="1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3">
    <w:numStyleLink w:val="680"/>
    <w:lvl w:ilvl="0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1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bullet"/>
      <w:pPr>
        <w:pBdr/>
        <w:spacing/>
        <w:ind/>
      </w:pPr>
      <w:rPr/>
      <w:start w:val="0"/>
      <w:suff w:val="tab"/>
    </w:lvl>
  </w:abstractNum>
  <w:abstractNum w:abstractNumId="24"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5">
    <w:styleLink w:val="679"/>
    <w:lvl w:ilvl="0">
      <w:isLgl w:val="false"/>
      <w:lvlJc w:val="left"/>
      <w:lvlText w:val="%1."/>
      <w:numFmt w:val="decimal"/>
      <w:pPr>
        <w:pBdr/>
        <w:spacing/>
        <w:ind w:firstLine="3" w:left="357"/>
      </w:pPr>
      <w:pStyle w:val="679"/>
      <w:rPr>
        <w:rFonts w:hint="default"/>
        <w:color w:val="auto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hint="default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hint="default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hint="default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hint="default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hint="default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hint="default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hint="default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hint="default"/>
      </w:rPr>
      <w:start w:val="1"/>
      <w:suff w:val="tab"/>
    </w:lvl>
  </w:abstractNum>
  <w:num w:numId="1">
    <w:abstractNumId w:val="19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14"/>
  </w:num>
  <w:num w:numId="8">
    <w:abstractNumId w:val="1"/>
  </w:num>
  <w:num w:numId="9">
    <w:abstractNumId w:val="24"/>
  </w:num>
  <w:num w:numId="10">
    <w:abstractNumId w:val="13"/>
  </w:num>
  <w:num w:numId="11">
    <w:abstractNumId w:val="6"/>
  </w:num>
  <w:num w:numId="12">
    <w:abstractNumId w:val="10"/>
  </w:num>
  <w:num w:numId="13">
    <w:abstractNumId w:val="2"/>
  </w:num>
  <w:num w:numId="14">
    <w:abstractNumId w:val="8"/>
  </w:num>
  <w:num w:numId="15">
    <w:abstractNumId w:val="4"/>
  </w:num>
  <w:num w:numId="16">
    <w:abstractNumId w:val="12"/>
    <w:lvlOverride w:ilvl="0">
      <w:lvl w:ilvl="0">
        <w:isLgl w:val="false"/>
        <w:lvlJc w:val="left"/>
        <w:lvlText w:val="%1."/>
        <w:numFmt w:val="decimal"/>
        <w:pPr>
          <w:pBdr/>
          <w:spacing/>
          <w:ind w:firstLine="3" w:left="357"/>
        </w:pPr>
        <w:rPr>
          <w:rFonts w:hint="default"/>
          <w:color w:val="auto"/>
        </w:rPr>
        <w:start w:val="1"/>
        <w:suff w:val="tab"/>
      </w:lvl>
    </w:lvlOverride>
  </w:num>
  <w:num w:numId="17">
    <w:abstractNumId w:val="3"/>
  </w:num>
  <w:num w:numId="18">
    <w:abstractNumId w:val="20"/>
  </w:num>
  <w:num w:numId="19">
    <w:abstractNumId w:val="25"/>
  </w:num>
  <w:num w:numId="20">
    <w:abstractNumId w:val="16"/>
  </w:num>
  <w:num w:numId="21">
    <w:abstractNumId w:val="22"/>
  </w:num>
  <w:num w:numId="22">
    <w:abstractNumId w:val="21"/>
  </w:num>
  <w:num w:numId="23">
    <w:abstractNumId w:val="23"/>
  </w:num>
  <w:num w:numId="24">
    <w:abstractNumId w:val="15"/>
  </w:num>
  <w:num w:numId="25">
    <w:abstractNumId w:val="5"/>
  </w:num>
  <w:num w:numId="26">
    <w:abstractNumId w:val="9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70"/>
    <w:next w:val="670"/>
    <w:link w:val="14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71"/>
    <w:link w:val="13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paragraph" w:styleId="15">
    <w:name w:val="Heading 2"/>
    <w:basedOn w:val="670"/>
    <w:next w:val="670"/>
    <w:link w:val="16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71"/>
    <w:link w:val="15"/>
    <w:uiPriority w:val="9"/>
    <w:pPr>
      <w:pBdr/>
      <w:spacing/>
      <w:ind/>
    </w:pPr>
    <w:rPr>
      <w:rFonts w:ascii="Arial" w:hAnsi="Arial" w:eastAsia="Arial" w:cs="Arial"/>
      <w:sz w:val="34"/>
    </w:rPr>
  </w:style>
  <w:style w:type="paragraph" w:styleId="17">
    <w:name w:val="Heading 3"/>
    <w:basedOn w:val="670"/>
    <w:next w:val="670"/>
    <w:link w:val="18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71"/>
    <w:link w:val="17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paragraph" w:styleId="19">
    <w:name w:val="Heading 4"/>
    <w:basedOn w:val="670"/>
    <w:next w:val="670"/>
    <w:link w:val="20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71"/>
    <w:link w:val="19"/>
    <w:uiPriority w:val="9"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70"/>
    <w:next w:val="670"/>
    <w:link w:val="22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71"/>
    <w:link w:val="21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70"/>
    <w:next w:val="670"/>
    <w:link w:val="24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71"/>
    <w:link w:val="23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70"/>
    <w:next w:val="670"/>
    <w:link w:val="26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71"/>
    <w:link w:val="25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70"/>
    <w:next w:val="670"/>
    <w:link w:val="2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71"/>
    <w:link w:val="27"/>
    <w:uiPriority w:val="9"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70"/>
    <w:next w:val="670"/>
    <w:link w:val="30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71"/>
    <w:link w:val="29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670"/>
    <w:next w:val="670"/>
    <w:link w:val="35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35">
    <w:name w:val="Title Char"/>
    <w:basedOn w:val="671"/>
    <w:link w:val="34"/>
    <w:uiPriority w:val="10"/>
    <w:pPr>
      <w:pBdr/>
      <w:spacing/>
      <w:ind/>
    </w:pPr>
    <w:rPr>
      <w:sz w:val="48"/>
      <w:szCs w:val="48"/>
    </w:rPr>
  </w:style>
  <w:style w:type="paragraph" w:styleId="36">
    <w:name w:val="Subtitle"/>
    <w:basedOn w:val="670"/>
    <w:next w:val="670"/>
    <w:link w:val="37"/>
    <w:uiPriority w:val="11"/>
    <w:qFormat/>
    <w:pPr>
      <w:pBdr/>
      <w:spacing w:after="200" w:before="200"/>
      <w:ind/>
    </w:pPr>
    <w:rPr>
      <w:sz w:val="24"/>
      <w:szCs w:val="24"/>
    </w:rPr>
  </w:style>
  <w:style w:type="character" w:styleId="37">
    <w:name w:val="Subtitle Char"/>
    <w:basedOn w:val="671"/>
    <w:link w:val="36"/>
    <w:uiPriority w:val="11"/>
    <w:pPr>
      <w:pBdr/>
      <w:spacing/>
      <w:ind/>
    </w:pPr>
    <w:rPr>
      <w:sz w:val="24"/>
      <w:szCs w:val="24"/>
    </w:rPr>
  </w:style>
  <w:style w:type="paragraph" w:styleId="38">
    <w:name w:val="Quote"/>
    <w:basedOn w:val="670"/>
    <w:next w:val="670"/>
    <w:link w:val="39"/>
    <w:uiPriority w:val="29"/>
    <w:qFormat/>
    <w:pPr>
      <w:pBdr/>
      <w:spacing/>
      <w:ind w:right="720" w:left="720"/>
    </w:pPr>
    <w:rPr>
      <w:i/>
    </w:rPr>
  </w:style>
  <w:style w:type="character" w:styleId="39">
    <w:name w:val="Quote Char"/>
    <w:link w:val="38"/>
    <w:uiPriority w:val="29"/>
    <w:pPr>
      <w:pBdr/>
      <w:spacing/>
      <w:ind/>
    </w:pPr>
    <w:rPr>
      <w:i/>
    </w:rPr>
  </w:style>
  <w:style w:type="paragraph" w:styleId="40">
    <w:name w:val="Intense Quote"/>
    <w:basedOn w:val="670"/>
    <w:next w:val="670"/>
    <w:link w:val="41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  <w:contextualSpacing w:val="false"/>
    </w:pPr>
    <w:rPr>
      <w:i/>
    </w:rPr>
  </w:style>
  <w:style w:type="character" w:styleId="41">
    <w:name w:val="Intense Quote Char"/>
    <w:link w:val="40"/>
    <w:uiPriority w:val="30"/>
    <w:pPr>
      <w:pBdr/>
      <w:spacing/>
      <w:ind/>
    </w:pPr>
    <w:rPr>
      <w:i/>
    </w:rPr>
  </w:style>
  <w:style w:type="paragraph" w:styleId="42">
    <w:name w:val="Header"/>
    <w:basedOn w:val="670"/>
    <w:link w:val="43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3">
    <w:name w:val="Header Char"/>
    <w:basedOn w:val="671"/>
    <w:link w:val="42"/>
    <w:uiPriority w:val="99"/>
    <w:pPr>
      <w:pBdr/>
      <w:spacing/>
      <w:ind/>
    </w:pPr>
  </w:style>
  <w:style w:type="paragraph" w:styleId="44">
    <w:name w:val="Footer"/>
    <w:basedOn w:val="670"/>
    <w:link w:val="47"/>
    <w:uiPriority w:val="99"/>
    <w:unhideWhenUsed/>
    <w:pPr>
      <w:pBdr/>
      <w:tabs>
        <w:tab w:val="center" w:leader="none" w:pos="7143"/>
        <w:tab w:val="right" w:leader="none" w:pos="14287"/>
      </w:tabs>
      <w:spacing w:after="0" w:line="240" w:lineRule="auto"/>
      <w:ind/>
    </w:pPr>
  </w:style>
  <w:style w:type="character" w:styleId="45">
    <w:name w:val="Footer Char"/>
    <w:basedOn w:val="671"/>
    <w:link w:val="44"/>
    <w:uiPriority w:val="99"/>
    <w:pPr>
      <w:pBdr/>
      <w:spacing/>
      <w:ind/>
    </w:pPr>
  </w:style>
  <w:style w:type="paragraph" w:styleId="46">
    <w:name w:val="Caption"/>
    <w:basedOn w:val="670"/>
    <w:next w:val="670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  <w:pPr>
      <w:pBdr/>
      <w:spacing/>
      <w:ind/>
    </w:pPr>
  </w:style>
  <w:style w:type="table" w:styleId="49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7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8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39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0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1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2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3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4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5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6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7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8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49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0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1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2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53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4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5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6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7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8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9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0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1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2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3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4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5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6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7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8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9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0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1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2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3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75">
    <w:name w:val="footnote text"/>
    <w:basedOn w:val="670"/>
    <w:link w:val="176"/>
    <w:uiPriority w:val="99"/>
    <w:semiHidden/>
    <w:unhideWhenUsed/>
    <w:pPr>
      <w:pBdr/>
      <w:spacing w:after="40" w:line="240" w:lineRule="auto"/>
      <w:ind/>
    </w:pPr>
    <w:rPr>
      <w:sz w:val="18"/>
    </w:rPr>
  </w:style>
  <w:style w:type="character" w:styleId="176">
    <w:name w:val="Footnote Text Char"/>
    <w:link w:val="175"/>
    <w:uiPriority w:val="99"/>
    <w:pPr>
      <w:pBdr/>
      <w:spacing/>
      <w:ind/>
    </w:pPr>
    <w:rPr>
      <w:sz w:val="18"/>
    </w:rPr>
  </w:style>
  <w:style w:type="character" w:styleId="177">
    <w:name w:val="footnote reference"/>
    <w:basedOn w:val="671"/>
    <w:uiPriority w:val="99"/>
    <w:unhideWhenUsed/>
    <w:pPr>
      <w:pBdr/>
      <w:spacing/>
      <w:ind/>
    </w:pPr>
    <w:rPr>
      <w:vertAlign w:val="superscript"/>
    </w:rPr>
  </w:style>
  <w:style w:type="paragraph" w:styleId="178">
    <w:name w:val="endnote text"/>
    <w:basedOn w:val="670"/>
    <w:link w:val="179"/>
    <w:uiPriority w:val="99"/>
    <w:semiHidden/>
    <w:unhideWhenUsed/>
    <w:pPr>
      <w:pBdr/>
      <w:spacing w:after="0" w:line="240" w:lineRule="auto"/>
      <w:ind/>
    </w:pPr>
    <w:rPr>
      <w:sz w:val="20"/>
    </w:rPr>
  </w:style>
  <w:style w:type="character" w:styleId="179">
    <w:name w:val="Endnote Text Char"/>
    <w:link w:val="178"/>
    <w:uiPriority w:val="99"/>
    <w:pPr>
      <w:pBdr/>
      <w:spacing/>
      <w:ind/>
    </w:pPr>
    <w:rPr>
      <w:sz w:val="20"/>
    </w:rPr>
  </w:style>
  <w:style w:type="character" w:styleId="180">
    <w:name w:val="endnote reference"/>
    <w:basedOn w:val="671"/>
    <w:uiPriority w:val="99"/>
    <w:semiHidden/>
    <w:unhideWhenUsed/>
    <w:pPr>
      <w:pBdr/>
      <w:spacing/>
      <w:ind/>
    </w:pPr>
    <w:rPr>
      <w:vertAlign w:val="superscript"/>
    </w:rPr>
  </w:style>
  <w:style w:type="paragraph" w:styleId="181">
    <w:name w:val="toc 1"/>
    <w:basedOn w:val="670"/>
    <w:next w:val="670"/>
    <w:uiPriority w:val="39"/>
    <w:unhideWhenUsed/>
    <w:pPr>
      <w:pBdr/>
      <w:spacing w:after="57"/>
      <w:ind w:right="0" w:firstLine="0" w:left="0"/>
    </w:pPr>
  </w:style>
  <w:style w:type="paragraph" w:styleId="182">
    <w:name w:val="toc 2"/>
    <w:basedOn w:val="670"/>
    <w:next w:val="670"/>
    <w:uiPriority w:val="39"/>
    <w:unhideWhenUsed/>
    <w:pPr>
      <w:pBdr/>
      <w:spacing w:after="57"/>
      <w:ind w:right="0" w:firstLine="0" w:left="283"/>
    </w:pPr>
  </w:style>
  <w:style w:type="paragraph" w:styleId="183">
    <w:name w:val="toc 3"/>
    <w:basedOn w:val="670"/>
    <w:next w:val="670"/>
    <w:uiPriority w:val="39"/>
    <w:unhideWhenUsed/>
    <w:pPr>
      <w:pBdr/>
      <w:spacing w:after="57"/>
      <w:ind w:right="0" w:firstLine="0" w:left="567"/>
    </w:pPr>
  </w:style>
  <w:style w:type="paragraph" w:styleId="184">
    <w:name w:val="toc 4"/>
    <w:basedOn w:val="670"/>
    <w:next w:val="670"/>
    <w:uiPriority w:val="39"/>
    <w:unhideWhenUsed/>
    <w:pPr>
      <w:pBdr/>
      <w:spacing w:after="57"/>
      <w:ind w:right="0" w:firstLine="0" w:left="850"/>
    </w:pPr>
  </w:style>
  <w:style w:type="paragraph" w:styleId="185">
    <w:name w:val="toc 5"/>
    <w:basedOn w:val="670"/>
    <w:next w:val="670"/>
    <w:uiPriority w:val="39"/>
    <w:unhideWhenUsed/>
    <w:pPr>
      <w:pBdr/>
      <w:spacing w:after="57"/>
      <w:ind w:right="0" w:firstLine="0" w:left="1134"/>
    </w:pPr>
  </w:style>
  <w:style w:type="paragraph" w:styleId="186">
    <w:name w:val="toc 6"/>
    <w:basedOn w:val="670"/>
    <w:next w:val="670"/>
    <w:uiPriority w:val="39"/>
    <w:unhideWhenUsed/>
    <w:pPr>
      <w:pBdr/>
      <w:spacing w:after="57"/>
      <w:ind w:right="0" w:firstLine="0" w:left="1417"/>
    </w:pPr>
  </w:style>
  <w:style w:type="paragraph" w:styleId="187">
    <w:name w:val="toc 7"/>
    <w:basedOn w:val="670"/>
    <w:next w:val="670"/>
    <w:uiPriority w:val="39"/>
    <w:unhideWhenUsed/>
    <w:pPr>
      <w:pBdr/>
      <w:spacing w:after="57"/>
      <w:ind w:right="0" w:firstLine="0" w:left="1701"/>
    </w:pPr>
  </w:style>
  <w:style w:type="paragraph" w:styleId="188">
    <w:name w:val="toc 8"/>
    <w:basedOn w:val="670"/>
    <w:next w:val="670"/>
    <w:uiPriority w:val="39"/>
    <w:unhideWhenUsed/>
    <w:pPr>
      <w:pBdr/>
      <w:spacing w:after="57"/>
      <w:ind w:right="0" w:firstLine="0" w:left="1984"/>
    </w:pPr>
  </w:style>
  <w:style w:type="paragraph" w:styleId="189">
    <w:name w:val="toc 9"/>
    <w:basedOn w:val="670"/>
    <w:next w:val="670"/>
    <w:uiPriority w:val="39"/>
    <w:unhideWhenUsed/>
    <w:pPr>
      <w:pBdr/>
      <w:spacing w:after="57"/>
      <w:ind w:right="0" w:firstLine="0" w:left="2268"/>
    </w:pPr>
  </w:style>
  <w:style w:type="paragraph" w:styleId="190">
    <w:name w:val="TOC Heading"/>
    <w:uiPriority w:val="39"/>
    <w:unhideWhenUsed/>
    <w:pPr>
      <w:pBdr/>
      <w:spacing/>
      <w:ind/>
    </w:pPr>
  </w:style>
  <w:style w:type="paragraph" w:styleId="191">
    <w:name w:val="table of figures"/>
    <w:basedOn w:val="670"/>
    <w:next w:val="670"/>
    <w:uiPriority w:val="99"/>
    <w:unhideWhenUsed/>
    <w:pPr>
      <w:pBdr/>
      <w:spacing w:after="0" w:afterAutospacing="0"/>
      <w:ind/>
    </w:pPr>
  </w:style>
  <w:style w:type="paragraph" w:styleId="670" w:default="1">
    <w:name w:val="Normal"/>
    <w:qFormat/>
    <w:pPr>
      <w:pBdr/>
      <w:spacing/>
      <w:ind/>
      <w:jc w:val="both"/>
    </w:pPr>
    <w:rPr>
      <w:rFonts w:ascii="Calibri" w:hAnsi="Calibri" w:eastAsia="Calibri" w:cs="Times New Roman"/>
    </w:rPr>
  </w:style>
  <w:style w:type="character" w:styleId="671" w:default="1">
    <w:name w:val="Default Paragraph Font"/>
    <w:uiPriority w:val="1"/>
    <w:semiHidden/>
    <w:unhideWhenUsed/>
    <w:pPr>
      <w:pBdr/>
      <w:spacing/>
      <w:ind/>
    </w:pPr>
  </w:style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673" w:default="1">
    <w:name w:val="No List"/>
    <w:uiPriority w:val="99"/>
    <w:semiHidden/>
    <w:unhideWhenUsed/>
    <w:pPr>
      <w:pBdr/>
      <w:spacing/>
      <w:ind/>
    </w:pPr>
  </w:style>
  <w:style w:type="paragraph" w:styleId="674" w:customStyle="1">
    <w:name w:val="List Paragraph1"/>
    <w:basedOn w:val="670"/>
    <w:pPr>
      <w:pBdr/>
      <w:spacing/>
      <w:ind w:left="720"/>
    </w:pPr>
    <w:rPr>
      <w:rFonts w:eastAsia="Times New Roman" w:cs="Calibri"/>
    </w:rPr>
  </w:style>
  <w:style w:type="table" w:styleId="675">
    <w:name w:val="Table Grid"/>
    <w:basedOn w:val="672"/>
    <w:uiPriority w:val="59"/>
    <w:pPr>
      <w:pBdr/>
      <w:spacing w:after="0" w:line="240" w:lineRule="auto"/>
      <w:ind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76">
    <w:name w:val="List Paragraph"/>
    <w:basedOn w:val="670"/>
    <w:uiPriority w:val="34"/>
    <w:qFormat/>
    <w:pPr>
      <w:pBdr/>
      <w:spacing/>
      <w:ind w:left="720"/>
      <w:contextualSpacing w:val="true"/>
    </w:pPr>
  </w:style>
  <w:style w:type="paragraph" w:styleId="677">
    <w:name w:val="No Spacing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</w:rPr>
  </w:style>
  <w:style w:type="numbering" w:styleId="678" w:customStyle="1">
    <w:name w:val="Стиль1"/>
    <w:uiPriority w:val="99"/>
    <w:pPr>
      <w:numPr>
        <w:ilvl w:val="0"/>
        <w:numId w:val="14"/>
      </w:numPr>
      <w:pBdr/>
      <w:spacing/>
      <w:ind/>
    </w:pPr>
  </w:style>
  <w:style w:type="numbering" w:styleId="679" w:customStyle="1">
    <w:name w:val="Стиль2"/>
    <w:uiPriority w:val="99"/>
    <w:pPr>
      <w:numPr>
        <w:ilvl w:val="0"/>
        <w:numId w:val="19"/>
      </w:numPr>
      <w:pBdr/>
      <w:spacing/>
      <w:ind/>
    </w:pPr>
  </w:style>
  <w:style w:type="numbering" w:styleId="680" w:customStyle="1">
    <w:name w:val="Стиль3"/>
    <w:uiPriority w:val="99"/>
    <w:pPr>
      <w:numPr>
        <w:ilvl w:val="0"/>
        <w:numId w:val="22"/>
      </w:numPr>
      <w:pBdr/>
      <w:spacing/>
      <w:ind/>
    </w:pPr>
  </w:style>
  <w:style w:type="character" w:styleId="681">
    <w:name w:val="Hyperlink"/>
    <w:basedOn w:val="671"/>
    <w:uiPriority w:val="99"/>
    <w:semiHidden/>
    <w:unhideWhenUsed/>
    <w:pPr>
      <w:pBdr/>
      <w:spacing/>
      <w:ind/>
    </w:pPr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8B8F78-015A-425C-A0FC-952C30F10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ONLYOFFICE/8.0.1.31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2022-03-11T11:15:00Z</dcterms:created>
  <dcterms:modified xsi:type="dcterms:W3CDTF">2024-05-08T08:29:37Z</dcterms:modified>
</cp:coreProperties>
</file>